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7CA" w:rsidRPr="00F80F46" w:rsidRDefault="002D27CA" w:rsidP="002D27CA">
      <w:pPr>
        <w:spacing w:after="0" w:line="240" w:lineRule="auto"/>
        <w:rPr>
          <w:rFonts w:eastAsia="Times New Roman" w:cs="Times New Roman"/>
          <w:sz w:val="28"/>
          <w:szCs w:val="28"/>
        </w:rPr>
      </w:pPr>
      <w:r w:rsidRPr="00F80F46">
        <w:rPr>
          <w:rFonts w:eastAsia="Times New Roman" w:cs="Times New Roman"/>
          <w:noProof/>
          <w:sz w:val="28"/>
          <w:szCs w:val="28"/>
        </w:rPr>
        <w:drawing>
          <wp:inline distT="0" distB="0" distL="0" distR="0">
            <wp:extent cx="5200291" cy="4922875"/>
            <wp:effectExtent l="19050" t="0" r="359" b="0"/>
            <wp:docPr id="1" name="Obraz 1" descr="http://iung.pl/dpr/images/naw_naturalne_skl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ung.pl/dpr/images/naw_naturalne_sklad.jpg"/>
                    <pic:cNvPicPr>
                      <a:picLocks noChangeAspect="1" noChangeArrowheads="1"/>
                    </pic:cNvPicPr>
                  </pic:nvPicPr>
                  <pic:blipFill>
                    <a:blip r:embed="rId6"/>
                    <a:srcRect/>
                    <a:stretch>
                      <a:fillRect/>
                    </a:stretch>
                  </pic:blipFill>
                  <pic:spPr bwMode="auto">
                    <a:xfrm>
                      <a:off x="0" y="0"/>
                      <a:ext cx="5200574" cy="4923143"/>
                    </a:xfrm>
                    <a:prstGeom prst="rect">
                      <a:avLst/>
                    </a:prstGeom>
                    <a:noFill/>
                    <a:ln w="9525">
                      <a:noFill/>
                      <a:miter lim="800000"/>
                      <a:headEnd/>
                      <a:tailEnd/>
                    </a:ln>
                  </pic:spPr>
                </pic:pic>
              </a:graphicData>
            </a:graphic>
          </wp:inline>
        </w:drawing>
      </w:r>
      <w:r w:rsidRPr="00F80F46">
        <w:rPr>
          <w:rFonts w:eastAsia="Times New Roman" w:cs="Times New Roman"/>
          <w:sz w:val="28"/>
          <w:szCs w:val="28"/>
        </w:rPr>
        <w:br/>
      </w:r>
      <w:r w:rsidRPr="00F80F46">
        <w:rPr>
          <w:rFonts w:eastAsia="Times New Roman" w:cs="Times New Roman"/>
          <w:sz w:val="28"/>
          <w:szCs w:val="28"/>
        </w:rPr>
        <w:br/>
        <w:t>Dopuszczalną (maksymalną) dawkę nawozów obliczamy dzieląc dopuszczalną dawkę azotu przez zawartość składnika w 1 tonie lub 1 m 3 nawozu.  Np. 1 tona gnojowicy bydlęca  wg tabeli  zawiera 3,4 kg N, zatem dopuszczalna dawka  nawozu na  1 ha wynosi:  170 kg N/ha : 3,4 kg N/t =  50 t/ha = 50 m3/ha.</w:t>
      </w:r>
    </w:p>
    <w:p w:rsidR="002D27CA" w:rsidRPr="00F80F46" w:rsidRDefault="002D27CA" w:rsidP="00F80F46">
      <w:pPr>
        <w:numPr>
          <w:ilvl w:val="0"/>
          <w:numId w:val="1"/>
        </w:num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Przyjmuje się, że  masa 1m3 gnojowicy i gnojówki jest równa ok. 1 t (1000 kg)</w:t>
      </w:r>
    </w:p>
    <w:p w:rsidR="002D27CA" w:rsidRPr="00F80F46" w:rsidRDefault="002D27CA" w:rsidP="002D27CA">
      <w:pPr>
        <w:spacing w:after="240" w:line="240" w:lineRule="auto"/>
        <w:rPr>
          <w:rFonts w:eastAsia="Times New Roman" w:cs="Times New Roman"/>
          <w:sz w:val="28"/>
          <w:szCs w:val="28"/>
        </w:rPr>
      </w:pPr>
      <w:r w:rsidRPr="00F80F46">
        <w:rPr>
          <w:rFonts w:eastAsia="Times New Roman" w:cs="Times New Roman"/>
          <w:b/>
          <w:bCs/>
          <w:sz w:val="28"/>
          <w:szCs w:val="28"/>
        </w:rPr>
        <w:t>Obornik drobiowy</w:t>
      </w:r>
      <w:r w:rsidRPr="00F80F46">
        <w:rPr>
          <w:rFonts w:eastAsia="Times New Roman" w:cs="Times New Roman"/>
          <w:sz w:val="28"/>
          <w:szCs w:val="28"/>
        </w:rPr>
        <w:t xml:space="preserve"> nazywany również </w:t>
      </w:r>
      <w:r w:rsidRPr="00F80F46">
        <w:rPr>
          <w:rFonts w:eastAsia="Times New Roman" w:cs="Times New Roman"/>
          <w:b/>
          <w:bCs/>
          <w:sz w:val="28"/>
          <w:szCs w:val="28"/>
        </w:rPr>
        <w:t>pomiotem ptasim</w:t>
      </w:r>
      <w:r w:rsidRPr="00F80F46">
        <w:rPr>
          <w:rFonts w:eastAsia="Times New Roman" w:cs="Times New Roman"/>
          <w:sz w:val="28"/>
          <w:szCs w:val="28"/>
        </w:rPr>
        <w:t xml:space="preserve"> to nawóz naturalny, będący mieszaniną wydalin hodowanego drobiu i ściółki. Do pomiotu mogą być dodawane środki hamujące wydzielanie amoniaku. Obornik drobiowy wykorzystywany jest do nawożenia gleb oraz  do produkcji różnego rodzaju podłoża organicznego np. do uprawy pieczarek. Skład chemiczny tego nawozu jest  zróżnicowany w zależności od gatunku. Obornik od kur zawiera przeciętnie 1,6% N; 1,5% P2O5; 0,8% K2O; 2,4% </w:t>
      </w:r>
      <w:proofErr w:type="spellStart"/>
      <w:r w:rsidRPr="00F80F46">
        <w:rPr>
          <w:rFonts w:eastAsia="Times New Roman" w:cs="Times New Roman"/>
          <w:sz w:val="28"/>
          <w:szCs w:val="28"/>
        </w:rPr>
        <w:t>CaO</w:t>
      </w:r>
      <w:proofErr w:type="spellEnd"/>
      <w:r w:rsidRPr="00F80F46">
        <w:rPr>
          <w:rFonts w:eastAsia="Times New Roman" w:cs="Times New Roman"/>
          <w:sz w:val="28"/>
          <w:szCs w:val="28"/>
        </w:rPr>
        <w:t xml:space="preserve"> i 0,7% </w:t>
      </w:r>
      <w:proofErr w:type="spellStart"/>
      <w:r w:rsidRPr="00F80F46">
        <w:rPr>
          <w:rFonts w:eastAsia="Times New Roman" w:cs="Times New Roman"/>
          <w:sz w:val="28"/>
          <w:szCs w:val="28"/>
        </w:rPr>
        <w:t>MgO</w:t>
      </w:r>
      <w:proofErr w:type="spellEnd"/>
      <w:r w:rsidRPr="00F80F46">
        <w:rPr>
          <w:rFonts w:eastAsia="Times New Roman" w:cs="Times New Roman"/>
          <w:sz w:val="28"/>
          <w:szCs w:val="28"/>
        </w:rPr>
        <w:t xml:space="preserve"> przy zawartości 56% wody. Obornik ptactwa wodnego (kaczki i gęsi) zawiera 0,5-1,0% N; 0,5-1,4% </w:t>
      </w:r>
      <w:r w:rsidRPr="00F80F46">
        <w:rPr>
          <w:rFonts w:eastAsia="Times New Roman" w:cs="Times New Roman"/>
          <w:sz w:val="28"/>
          <w:szCs w:val="28"/>
        </w:rPr>
        <w:lastRenderedPageBreak/>
        <w:t xml:space="preserve">P2O5; 0,6-0,9% K2O; 0,8-1,6% </w:t>
      </w:r>
      <w:proofErr w:type="spellStart"/>
      <w:r w:rsidRPr="00F80F46">
        <w:rPr>
          <w:rFonts w:eastAsia="Times New Roman" w:cs="Times New Roman"/>
          <w:sz w:val="28"/>
          <w:szCs w:val="28"/>
        </w:rPr>
        <w:t>CaO</w:t>
      </w:r>
      <w:proofErr w:type="spellEnd"/>
      <w:r w:rsidRPr="00F80F46">
        <w:rPr>
          <w:rFonts w:eastAsia="Times New Roman" w:cs="Times New Roman"/>
          <w:sz w:val="28"/>
          <w:szCs w:val="28"/>
        </w:rPr>
        <w:t xml:space="preserve"> i 0,2-0,3% </w:t>
      </w:r>
      <w:proofErr w:type="spellStart"/>
      <w:r w:rsidRPr="00F80F46">
        <w:rPr>
          <w:rFonts w:eastAsia="Times New Roman" w:cs="Times New Roman"/>
          <w:sz w:val="28"/>
          <w:szCs w:val="28"/>
        </w:rPr>
        <w:t>MgO</w:t>
      </w:r>
      <w:proofErr w:type="spellEnd"/>
      <w:r w:rsidRPr="00F80F46">
        <w:rPr>
          <w:rFonts w:eastAsia="Times New Roman" w:cs="Times New Roman"/>
          <w:sz w:val="28"/>
          <w:szCs w:val="28"/>
        </w:rPr>
        <w:t xml:space="preserve"> przy zawartości 70% wody. Azot w oborniku  ptasim występuje w przeważającej części w formie kwasu moczowego, który szybko rozkłada się do amoniaku. Obornik drobiowy zaleca się stosować  w dawkach 10-15 t/ha, pod te same rośliny i w takich samych terminach jak obornik tradycyjny.</w:t>
      </w:r>
    </w:p>
    <w:p w:rsidR="002D27CA" w:rsidRPr="00F80F46" w:rsidRDefault="002D27CA" w:rsidP="002D27CA">
      <w:pPr>
        <w:spacing w:after="0" w:line="240" w:lineRule="auto"/>
        <w:jc w:val="center"/>
        <w:rPr>
          <w:rFonts w:eastAsia="Times New Roman" w:cs="Times New Roman"/>
          <w:sz w:val="28"/>
          <w:szCs w:val="28"/>
        </w:rPr>
      </w:pPr>
      <w:r w:rsidRPr="00F80F46">
        <w:rPr>
          <w:rFonts w:eastAsia="Times New Roman" w:cs="Times New Roman"/>
          <w:noProof/>
          <w:sz w:val="28"/>
          <w:szCs w:val="28"/>
        </w:rPr>
        <w:drawing>
          <wp:inline distT="0" distB="0" distL="0" distR="0">
            <wp:extent cx="4542318" cy="1860698"/>
            <wp:effectExtent l="19050" t="0" r="0" b="0"/>
            <wp:docPr id="2" name="Obraz 2" descr="http://iung.pl/dpr/images/pomiot_skl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ung.pl/dpr/images/pomiot_sklad.jpg"/>
                    <pic:cNvPicPr>
                      <a:picLocks noChangeAspect="1" noChangeArrowheads="1"/>
                    </pic:cNvPicPr>
                  </pic:nvPicPr>
                  <pic:blipFill>
                    <a:blip r:embed="rId7"/>
                    <a:srcRect/>
                    <a:stretch>
                      <a:fillRect/>
                    </a:stretch>
                  </pic:blipFill>
                  <pic:spPr bwMode="auto">
                    <a:xfrm>
                      <a:off x="0" y="0"/>
                      <a:ext cx="4541378" cy="1860313"/>
                    </a:xfrm>
                    <a:prstGeom prst="rect">
                      <a:avLst/>
                    </a:prstGeom>
                    <a:noFill/>
                    <a:ln w="9525">
                      <a:noFill/>
                      <a:miter lim="800000"/>
                      <a:headEnd/>
                      <a:tailEnd/>
                    </a:ln>
                  </pic:spPr>
                </pic:pic>
              </a:graphicData>
            </a:graphic>
          </wp:inline>
        </w:drawing>
      </w:r>
      <w:r w:rsidR="00EE50BC">
        <w:rPr>
          <w:rFonts w:eastAsia="Times New Roman" w:cs="Times New Roman"/>
          <w:sz w:val="28"/>
          <w:szCs w:val="28"/>
        </w:rPr>
        <w:t>[%s.m.]</w:t>
      </w:r>
    </w:p>
    <w:p w:rsidR="002D27CA" w:rsidRPr="00F80F46" w:rsidRDefault="002D27CA" w:rsidP="002D27CA">
      <w:pPr>
        <w:rPr>
          <w:rFonts w:eastAsia="Times New Roman" w:cs="Times New Roman"/>
          <w:sz w:val="28"/>
          <w:szCs w:val="28"/>
        </w:rPr>
      </w:pPr>
      <w:r w:rsidRPr="00F80F46">
        <w:rPr>
          <w:rFonts w:eastAsia="Times New Roman" w:cs="Times New Roman"/>
          <w:sz w:val="28"/>
          <w:szCs w:val="28"/>
        </w:rPr>
        <w:br/>
      </w:r>
      <w:r w:rsidRPr="00F80F46">
        <w:rPr>
          <w:rFonts w:eastAsia="Times New Roman" w:cs="Times New Roman"/>
          <w:sz w:val="28"/>
          <w:szCs w:val="28"/>
        </w:rPr>
        <w:br/>
        <w:t xml:space="preserve">Oprócz azotu konieczna jest także kontrola dopływu fosforu i potasu w nawozach naturalnych. W celu obliczenia ilości wnoszonego fosforu i potasu należy dawkę nawozu przewidzianą do zastosowania  wyrażoną w t/ha  lub m3/ha  pomnożyć przez zawartość   P2O5 i  K2O w 1 tonie lub 1m3 nawozu. </w:t>
      </w:r>
      <w:r w:rsidRPr="00F80F46">
        <w:rPr>
          <w:rFonts w:eastAsia="Times New Roman" w:cs="Times New Roman"/>
          <w:sz w:val="28"/>
          <w:szCs w:val="28"/>
        </w:rPr>
        <w:br/>
      </w:r>
      <w:r w:rsidRPr="00F80F46">
        <w:rPr>
          <w:rFonts w:eastAsia="Times New Roman" w:cs="Times New Roman"/>
          <w:sz w:val="28"/>
          <w:szCs w:val="28"/>
        </w:rPr>
        <w:br/>
        <w:t>W przykładzie przytoczonym powyżej ilość wnoszonego fosforu wynosi:  50 t/ha  * 2,0 kg  P2O5/m3 = 100 kg P2O5/ha, a potasu:  50 t/ha * 3,7 kg K2O/t = 185 kg K2O/ha.</w:t>
      </w:r>
      <w:r w:rsidRPr="00F80F46">
        <w:rPr>
          <w:rFonts w:eastAsia="Times New Roman" w:cs="Times New Roman"/>
          <w:sz w:val="28"/>
          <w:szCs w:val="28"/>
        </w:rPr>
        <w:br/>
      </w:r>
      <w:r w:rsidRPr="00F80F46">
        <w:rPr>
          <w:rFonts w:eastAsia="Times New Roman" w:cs="Times New Roman"/>
          <w:sz w:val="28"/>
          <w:szCs w:val="28"/>
        </w:rPr>
        <w:br/>
        <w:t xml:space="preserve">Wykorzystanie przez rośliny składników pokarmowych z nawozów naturalnych, a w szczególności z obornika,  jest słabsze niż z nawozów mineralnych. Dlatego dla potrzeb planowania nawożenia ilość składników wnoszonych w nawozach naturalnych przelicza się na tzw. </w:t>
      </w:r>
      <w:r w:rsidRPr="00F80F46">
        <w:rPr>
          <w:rFonts w:eastAsia="Times New Roman" w:cs="Times New Roman"/>
          <w:b/>
          <w:bCs/>
          <w:sz w:val="28"/>
          <w:szCs w:val="28"/>
        </w:rPr>
        <w:t>składniki działające</w:t>
      </w:r>
      <w:r w:rsidRPr="00F80F46">
        <w:rPr>
          <w:rFonts w:eastAsia="Times New Roman" w:cs="Times New Roman"/>
          <w:sz w:val="28"/>
          <w:szCs w:val="28"/>
        </w:rPr>
        <w:t xml:space="preserve"> stosując odpowiednie </w:t>
      </w:r>
      <w:r w:rsidRPr="00F80F46">
        <w:rPr>
          <w:rFonts w:eastAsia="Times New Roman" w:cs="Times New Roman"/>
          <w:b/>
          <w:bCs/>
          <w:sz w:val="28"/>
          <w:szCs w:val="28"/>
        </w:rPr>
        <w:t>równoważniki nawozowe</w:t>
      </w:r>
      <w:r w:rsidRPr="00F80F46">
        <w:rPr>
          <w:rFonts w:eastAsia="Times New Roman" w:cs="Times New Roman"/>
          <w:sz w:val="28"/>
          <w:szCs w:val="28"/>
        </w:rPr>
        <w:t xml:space="preserve"> azotu i współczynniki wykorzystania fosforu i potasu.  </w:t>
      </w:r>
    </w:p>
    <w:p w:rsidR="00F80F46" w:rsidRDefault="002D27CA" w:rsidP="002D27CA">
      <w:pPr>
        <w:rPr>
          <w:rFonts w:eastAsia="Times New Roman" w:cs="Times New Roman"/>
          <w:sz w:val="28"/>
          <w:szCs w:val="28"/>
        </w:rPr>
      </w:pPr>
      <w:r w:rsidRPr="00F80F46">
        <w:rPr>
          <w:rFonts w:eastAsia="Times New Roman" w:cs="Times New Roman"/>
          <w:sz w:val="28"/>
          <w:szCs w:val="28"/>
        </w:rPr>
        <w:lastRenderedPageBreak/>
        <w:br/>
      </w:r>
      <w:r w:rsidRPr="00F80F46">
        <w:rPr>
          <w:rFonts w:eastAsia="Times New Roman" w:cs="Times New Roman"/>
          <w:noProof/>
          <w:sz w:val="28"/>
          <w:szCs w:val="28"/>
        </w:rPr>
        <w:drawing>
          <wp:inline distT="0" distB="0" distL="0" distR="0">
            <wp:extent cx="5307862" cy="3466214"/>
            <wp:effectExtent l="19050" t="0" r="7088" b="0"/>
            <wp:docPr id="3" name="Obraz 3" descr="http://iung.pl/dpr/images/naw_nat_wykorzysta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ung.pl/dpr/images/naw_nat_wykorzystanie.jpg"/>
                    <pic:cNvPicPr>
                      <a:picLocks noChangeAspect="1" noChangeArrowheads="1"/>
                    </pic:cNvPicPr>
                  </pic:nvPicPr>
                  <pic:blipFill>
                    <a:blip r:embed="rId8"/>
                    <a:srcRect/>
                    <a:stretch>
                      <a:fillRect/>
                    </a:stretch>
                  </pic:blipFill>
                  <pic:spPr bwMode="auto">
                    <a:xfrm>
                      <a:off x="0" y="0"/>
                      <a:ext cx="5308499" cy="3466630"/>
                    </a:xfrm>
                    <a:prstGeom prst="rect">
                      <a:avLst/>
                    </a:prstGeom>
                    <a:noFill/>
                    <a:ln w="9525">
                      <a:noFill/>
                      <a:miter lim="800000"/>
                      <a:headEnd/>
                      <a:tailEnd/>
                    </a:ln>
                  </pic:spPr>
                </pic:pic>
              </a:graphicData>
            </a:graphic>
          </wp:inline>
        </w:drawing>
      </w:r>
      <w:r w:rsidRPr="00F80F46">
        <w:rPr>
          <w:rFonts w:eastAsia="Times New Roman" w:cs="Times New Roman"/>
          <w:sz w:val="28"/>
          <w:szCs w:val="28"/>
        </w:rPr>
        <w:br/>
      </w:r>
    </w:p>
    <w:p w:rsidR="00E72E8D" w:rsidRPr="00F80F46" w:rsidRDefault="002D27CA" w:rsidP="002D27CA">
      <w:pPr>
        <w:rPr>
          <w:rFonts w:eastAsia="Times New Roman" w:cs="Times New Roman"/>
          <w:sz w:val="28"/>
          <w:szCs w:val="28"/>
        </w:rPr>
      </w:pPr>
      <w:r w:rsidRPr="00F80F46">
        <w:rPr>
          <w:rFonts w:eastAsia="Times New Roman" w:cs="Times New Roman"/>
          <w:sz w:val="28"/>
          <w:szCs w:val="28"/>
        </w:rPr>
        <w:t>Ilość składników działających obliczamy mnożąc całkowitą ilość składnika wnoszonego w nawozie naturalnym przez odpowiednią wartość z tabeli. Uzyskana wartość wskazuje o ile należy zmniejszyć dawkę nawozów mineralnych (wynikającą z potrzeb nawożenia  na danym polu) po zastosowaniu nawozów naturalnych. </w:t>
      </w:r>
    </w:p>
    <w:p w:rsidR="00AD13F0" w:rsidRPr="00F80F46" w:rsidRDefault="00AD13F0" w:rsidP="00AD13F0">
      <w:p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W ciągu roku otrzymuje się następujące ilości obornika (po odliczeniu odchodów pozostawionych w polu czy na pastwisku):</w:t>
      </w:r>
    </w:p>
    <w:p w:rsidR="00AD13F0" w:rsidRPr="00F80F46"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koń - 8,0 t </w:t>
      </w:r>
    </w:p>
    <w:p w:rsidR="00AD13F0" w:rsidRPr="00F80F46"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krowa - 5,5 t (żywienie w oborze i na pastwisku) </w:t>
      </w:r>
    </w:p>
    <w:p w:rsidR="00AD13F0" w:rsidRPr="00F80F46"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krowa - 12,0 t (żywienie tylko w oborze) cielę 4,0 t (żywienie w oborze i na pastwisku) </w:t>
      </w:r>
    </w:p>
    <w:p w:rsidR="00AD13F0" w:rsidRPr="00F80F46"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cielę - 8,0 t (żywienie tylko w oborze) </w:t>
      </w:r>
    </w:p>
    <w:p w:rsidR="00AD13F0" w:rsidRPr="00F80F46"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owca - 0,5 t świnia 1,51 </w:t>
      </w:r>
    </w:p>
    <w:p w:rsidR="00AD13F0" w:rsidRPr="00F80F46"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kura -  0,55 t </w:t>
      </w:r>
    </w:p>
    <w:p w:rsidR="00AD13F0" w:rsidRDefault="00AD13F0" w:rsidP="00AD13F0">
      <w:pPr>
        <w:numPr>
          <w:ilvl w:val="0"/>
          <w:numId w:val="2"/>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 xml:space="preserve">gęś - 11,0 kg </w:t>
      </w:r>
    </w:p>
    <w:p w:rsidR="00F80F46" w:rsidRDefault="00F80F46" w:rsidP="00F80F46">
      <w:pPr>
        <w:spacing w:before="100" w:beforeAutospacing="1" w:after="100" w:afterAutospacing="1" w:line="240" w:lineRule="auto"/>
        <w:rPr>
          <w:rFonts w:eastAsia="Times New Roman" w:cs="Times New Roman"/>
          <w:sz w:val="28"/>
          <w:szCs w:val="28"/>
        </w:rPr>
      </w:pPr>
    </w:p>
    <w:p w:rsidR="00F80F46" w:rsidRDefault="00F80F46" w:rsidP="00F80F46">
      <w:pPr>
        <w:spacing w:before="100" w:beforeAutospacing="1" w:after="100" w:afterAutospacing="1" w:line="240" w:lineRule="auto"/>
        <w:rPr>
          <w:rFonts w:eastAsia="Times New Roman" w:cs="Times New Roman"/>
          <w:sz w:val="28"/>
          <w:szCs w:val="28"/>
        </w:rPr>
      </w:pPr>
    </w:p>
    <w:p w:rsidR="00F80F46" w:rsidRPr="00F80F46" w:rsidRDefault="00F80F46" w:rsidP="00F80F46">
      <w:pPr>
        <w:spacing w:before="100" w:beforeAutospacing="1" w:after="100" w:afterAutospacing="1" w:line="240" w:lineRule="auto"/>
        <w:rPr>
          <w:rFonts w:eastAsia="Times New Roman" w:cs="Times New Roman"/>
          <w:sz w:val="28"/>
          <w:szCs w:val="28"/>
        </w:rPr>
      </w:pPr>
    </w:p>
    <w:p w:rsidR="00AD13F0" w:rsidRPr="00F80F46" w:rsidRDefault="00AD13F0" w:rsidP="00AD13F0">
      <w:p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Gnojowica w świeżej masie zawiera:</w:t>
      </w:r>
    </w:p>
    <w:p w:rsidR="00AD13F0" w:rsidRPr="00F80F46" w:rsidRDefault="00AD13F0" w:rsidP="00AD13F0">
      <w:pPr>
        <w:numPr>
          <w:ilvl w:val="0"/>
          <w:numId w:val="3"/>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u w:val="single"/>
        </w:rPr>
        <w:t xml:space="preserve">bydlęca: </w:t>
      </w:r>
      <w:r w:rsidRPr="00F80F46">
        <w:rPr>
          <w:rFonts w:eastAsia="Times New Roman" w:cs="Times New Roman"/>
          <w:sz w:val="28"/>
          <w:szCs w:val="28"/>
          <w:u w:val="single"/>
        </w:rPr>
        <w:br/>
      </w:r>
      <w:r w:rsidRPr="00F80F46">
        <w:rPr>
          <w:rFonts w:eastAsia="Times New Roman" w:cs="Times New Roman"/>
          <w:sz w:val="28"/>
          <w:szCs w:val="28"/>
        </w:rPr>
        <w:t>– 0,31 – 0,50% N,</w:t>
      </w:r>
      <w:r w:rsidRPr="00F80F46">
        <w:rPr>
          <w:rFonts w:eastAsia="Times New Roman" w:cs="Times New Roman"/>
          <w:sz w:val="28"/>
          <w:szCs w:val="28"/>
        </w:rPr>
        <w:br/>
        <w:t>– 0,15 P</w:t>
      </w:r>
      <w:r w:rsidRPr="00F80F46">
        <w:rPr>
          <w:rFonts w:eastAsia="Times New Roman" w:cs="Times New Roman"/>
          <w:sz w:val="28"/>
          <w:szCs w:val="28"/>
          <w:vertAlign w:val="subscript"/>
        </w:rPr>
        <w:t>2</w:t>
      </w:r>
      <w:r w:rsidRPr="00F80F46">
        <w:rPr>
          <w:rFonts w:eastAsia="Times New Roman" w:cs="Times New Roman"/>
          <w:sz w:val="28"/>
          <w:szCs w:val="28"/>
        </w:rPr>
        <w:t>O</w:t>
      </w:r>
      <w:r w:rsidRPr="00F80F46">
        <w:rPr>
          <w:rFonts w:eastAsia="Times New Roman" w:cs="Times New Roman"/>
          <w:sz w:val="28"/>
          <w:szCs w:val="28"/>
          <w:vertAlign w:val="subscript"/>
        </w:rPr>
        <w:t>5</w:t>
      </w:r>
      <w:r w:rsidRPr="00F80F46">
        <w:rPr>
          <w:rFonts w:eastAsia="Times New Roman" w:cs="Times New Roman"/>
          <w:sz w:val="28"/>
          <w:szCs w:val="28"/>
        </w:rPr>
        <w:br/>
        <w:t>– 0,33% K</w:t>
      </w:r>
      <w:r w:rsidRPr="00F80F46">
        <w:rPr>
          <w:rFonts w:eastAsia="Times New Roman" w:cs="Times New Roman"/>
          <w:sz w:val="28"/>
          <w:szCs w:val="28"/>
          <w:vertAlign w:val="subscript"/>
        </w:rPr>
        <w:t>2</w:t>
      </w:r>
      <w:r w:rsidRPr="00F80F46">
        <w:rPr>
          <w:rFonts w:eastAsia="Times New Roman" w:cs="Times New Roman"/>
          <w:sz w:val="28"/>
          <w:szCs w:val="28"/>
        </w:rPr>
        <w:t xml:space="preserve">O </w:t>
      </w:r>
    </w:p>
    <w:p w:rsidR="00AD13F0" w:rsidRPr="00F80F46" w:rsidRDefault="00AD13F0" w:rsidP="00AD13F0">
      <w:pPr>
        <w:numPr>
          <w:ilvl w:val="0"/>
          <w:numId w:val="3"/>
        </w:num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u w:val="single"/>
        </w:rPr>
        <w:t>trzody chlewnej:</w:t>
      </w:r>
      <w:r w:rsidRPr="00F80F46">
        <w:rPr>
          <w:rFonts w:eastAsia="Times New Roman" w:cs="Times New Roman"/>
          <w:sz w:val="28"/>
          <w:szCs w:val="28"/>
        </w:rPr>
        <w:br/>
        <w:t xml:space="preserve">– 0,30 - 0,50% N, </w:t>
      </w:r>
      <w:r w:rsidRPr="00F80F46">
        <w:rPr>
          <w:rFonts w:eastAsia="Times New Roman" w:cs="Times New Roman"/>
          <w:sz w:val="28"/>
          <w:szCs w:val="28"/>
        </w:rPr>
        <w:br/>
        <w:t>– 0,11- 0,15% P</w:t>
      </w:r>
      <w:r w:rsidRPr="00F80F46">
        <w:rPr>
          <w:rFonts w:eastAsia="Times New Roman" w:cs="Times New Roman"/>
          <w:sz w:val="28"/>
          <w:szCs w:val="28"/>
          <w:vertAlign w:val="subscript"/>
        </w:rPr>
        <w:t>2</w:t>
      </w:r>
      <w:r w:rsidRPr="00F80F46">
        <w:rPr>
          <w:rFonts w:eastAsia="Times New Roman" w:cs="Times New Roman"/>
          <w:sz w:val="28"/>
          <w:szCs w:val="28"/>
        </w:rPr>
        <w:t>O</w:t>
      </w:r>
      <w:r w:rsidRPr="00F80F46">
        <w:rPr>
          <w:rFonts w:eastAsia="Times New Roman" w:cs="Times New Roman"/>
          <w:sz w:val="28"/>
          <w:szCs w:val="28"/>
          <w:vertAlign w:val="subscript"/>
        </w:rPr>
        <w:t>5</w:t>
      </w:r>
      <w:r w:rsidRPr="00F80F46">
        <w:rPr>
          <w:rFonts w:eastAsia="Times New Roman" w:cs="Times New Roman"/>
          <w:sz w:val="28"/>
          <w:szCs w:val="28"/>
        </w:rPr>
        <w:br/>
        <w:t>– 0,17 - 0,25% K</w:t>
      </w:r>
      <w:r w:rsidRPr="00F80F46">
        <w:rPr>
          <w:rFonts w:eastAsia="Times New Roman" w:cs="Times New Roman"/>
          <w:sz w:val="28"/>
          <w:szCs w:val="28"/>
          <w:vertAlign w:val="subscript"/>
        </w:rPr>
        <w:t>2</w:t>
      </w:r>
      <w:r w:rsidRPr="00F80F46">
        <w:rPr>
          <w:rFonts w:eastAsia="Times New Roman" w:cs="Times New Roman"/>
          <w:sz w:val="28"/>
          <w:szCs w:val="28"/>
        </w:rPr>
        <w:t>O</w:t>
      </w:r>
    </w:p>
    <w:p w:rsidR="00AD13F0" w:rsidRPr="00F80F46" w:rsidRDefault="00AD13F0" w:rsidP="00AD13F0">
      <w:pPr>
        <w:spacing w:before="100" w:beforeAutospacing="1" w:after="100" w:afterAutospacing="1" w:line="240" w:lineRule="auto"/>
        <w:rPr>
          <w:rFonts w:eastAsia="Times New Roman" w:cs="Times New Roman"/>
          <w:sz w:val="28"/>
          <w:szCs w:val="28"/>
        </w:rPr>
      </w:pPr>
      <w:r w:rsidRPr="00F80F46">
        <w:rPr>
          <w:rFonts w:eastAsia="Times New Roman" w:cs="Times New Roman"/>
          <w:sz w:val="28"/>
          <w:szCs w:val="28"/>
        </w:rPr>
        <w:t>Około 50 - 60% azotu znajdującego się w gnojowicy występuje w formie mineralnej.</w:t>
      </w:r>
    </w:p>
    <w:p w:rsidR="00AD13F0" w:rsidRPr="00F80F46" w:rsidRDefault="00AD13F0" w:rsidP="002D27CA">
      <w:pPr>
        <w:rPr>
          <w:sz w:val="28"/>
          <w:szCs w:val="28"/>
        </w:rPr>
      </w:pPr>
    </w:p>
    <w:sectPr w:rsidR="00AD13F0" w:rsidRPr="00F80F46" w:rsidSect="005675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33824"/>
    <w:multiLevelType w:val="multilevel"/>
    <w:tmpl w:val="E2F42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6E026C"/>
    <w:multiLevelType w:val="multilevel"/>
    <w:tmpl w:val="35A0C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C50606"/>
    <w:multiLevelType w:val="multilevel"/>
    <w:tmpl w:val="529A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useFELayout/>
  </w:compat>
  <w:rsids>
    <w:rsidRoot w:val="002D27CA"/>
    <w:rsid w:val="002D27CA"/>
    <w:rsid w:val="00491D7D"/>
    <w:rsid w:val="005675E5"/>
    <w:rsid w:val="00AD13F0"/>
    <w:rsid w:val="00E72E8D"/>
    <w:rsid w:val="00EE50BC"/>
    <w:rsid w:val="00F01A58"/>
    <w:rsid w:val="00F80F4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675E5"/>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27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27CA"/>
    <w:rPr>
      <w:rFonts w:ascii="Tahoma" w:hAnsi="Tahoma" w:cs="Tahoma"/>
      <w:sz w:val="16"/>
      <w:szCs w:val="16"/>
    </w:rPr>
  </w:style>
  <w:style w:type="paragraph" w:styleId="NormalnyWeb">
    <w:name w:val="Normal (Web)"/>
    <w:basedOn w:val="Normalny"/>
    <w:uiPriority w:val="99"/>
    <w:semiHidden/>
    <w:unhideWhenUsed/>
    <w:rsid w:val="00AD13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8055434">
      <w:bodyDiv w:val="1"/>
      <w:marLeft w:val="0"/>
      <w:marRight w:val="0"/>
      <w:marTop w:val="0"/>
      <w:marBottom w:val="0"/>
      <w:divBdr>
        <w:top w:val="none" w:sz="0" w:space="0" w:color="auto"/>
        <w:left w:val="none" w:sz="0" w:space="0" w:color="auto"/>
        <w:bottom w:val="none" w:sz="0" w:space="0" w:color="auto"/>
        <w:right w:val="none" w:sz="0" w:space="0" w:color="auto"/>
      </w:divBdr>
    </w:div>
    <w:div w:id="1514493952">
      <w:bodyDiv w:val="1"/>
      <w:marLeft w:val="0"/>
      <w:marRight w:val="0"/>
      <w:marTop w:val="0"/>
      <w:marBottom w:val="0"/>
      <w:divBdr>
        <w:top w:val="none" w:sz="0" w:space="0" w:color="auto"/>
        <w:left w:val="none" w:sz="0" w:space="0" w:color="auto"/>
        <w:bottom w:val="none" w:sz="0" w:space="0" w:color="auto"/>
        <w:right w:val="none" w:sz="0" w:space="0" w:color="auto"/>
      </w:divBdr>
    </w:div>
    <w:div w:id="15305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F74E9-7437-42CC-BDA6-24BDE8BD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436</Words>
  <Characters>2619</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dc:creator>
  <cp:keywords/>
  <dc:description/>
  <cp:lastModifiedBy>bogdan</cp:lastModifiedBy>
  <cp:revision>7</cp:revision>
  <dcterms:created xsi:type="dcterms:W3CDTF">2016-01-15T19:54:00Z</dcterms:created>
  <dcterms:modified xsi:type="dcterms:W3CDTF">2016-10-24T11:10:00Z</dcterms:modified>
</cp:coreProperties>
</file>