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4298" w:rsidRPr="00A94298" w:rsidRDefault="00A94298" w:rsidP="00A94298">
      <w:pPr>
        <w:spacing w:before="100" w:beforeAutospacing="1" w:after="100" w:afterAutospacing="1" w:line="240" w:lineRule="auto"/>
        <w:outlineLvl w:val="1"/>
        <w:rPr>
          <w:rFonts w:ascii="Verdana" w:eastAsia="Times New Roman" w:hAnsi="Verdana" w:cs="Times New Roman"/>
          <w:b/>
          <w:bCs/>
          <w:color w:val="79B30B"/>
          <w:sz w:val="25"/>
          <w:szCs w:val="25"/>
        </w:rPr>
      </w:pPr>
      <w:r w:rsidRPr="00A94298">
        <w:rPr>
          <w:rFonts w:ascii="Verdana" w:eastAsia="Times New Roman" w:hAnsi="Verdana" w:cs="Times New Roman"/>
          <w:b/>
          <w:bCs/>
          <w:color w:val="79B30B"/>
          <w:sz w:val="25"/>
          <w:szCs w:val="25"/>
        </w:rPr>
        <w:fldChar w:fldCharType="begin"/>
      </w:r>
      <w:r w:rsidRPr="00A94298">
        <w:rPr>
          <w:rFonts w:ascii="Verdana" w:eastAsia="Times New Roman" w:hAnsi="Verdana" w:cs="Times New Roman"/>
          <w:b/>
          <w:bCs/>
          <w:color w:val="79B30B"/>
          <w:sz w:val="25"/>
          <w:szCs w:val="25"/>
        </w:rPr>
        <w:instrText xml:space="preserve"> HYPERLINK "http://mr.wipie.ur.krakow.pl/index.html" </w:instrText>
      </w:r>
      <w:r w:rsidRPr="00A94298">
        <w:rPr>
          <w:rFonts w:ascii="Verdana" w:eastAsia="Times New Roman" w:hAnsi="Verdana" w:cs="Times New Roman"/>
          <w:b/>
          <w:bCs/>
          <w:color w:val="79B30B"/>
          <w:sz w:val="25"/>
          <w:szCs w:val="25"/>
        </w:rPr>
        <w:fldChar w:fldCharType="separate"/>
      </w:r>
      <w:r w:rsidRPr="00A94298">
        <w:rPr>
          <w:rFonts w:ascii="Verdana" w:eastAsia="Times New Roman" w:hAnsi="Verdana" w:cs="Times New Roman"/>
          <w:b/>
          <w:bCs/>
          <w:color w:val="445522"/>
          <w:sz w:val="25"/>
          <w:u w:val="single"/>
        </w:rPr>
        <w:t>Powrót do strony głównej</w:t>
      </w:r>
      <w:r w:rsidRPr="00A94298">
        <w:rPr>
          <w:rFonts w:ascii="Verdana" w:eastAsia="Times New Roman" w:hAnsi="Verdana" w:cs="Times New Roman"/>
          <w:b/>
          <w:bCs/>
          <w:color w:val="79B30B"/>
          <w:sz w:val="25"/>
          <w:szCs w:val="25"/>
        </w:rPr>
        <w:fldChar w:fldCharType="end"/>
      </w:r>
    </w:p>
    <w:p w:rsidR="00A94298" w:rsidRPr="00A94298" w:rsidRDefault="00A94298" w:rsidP="00A94298">
      <w:pPr>
        <w:spacing w:before="100" w:beforeAutospacing="1" w:after="100" w:afterAutospacing="1" w:line="240" w:lineRule="auto"/>
        <w:outlineLvl w:val="0"/>
        <w:rPr>
          <w:rFonts w:ascii="Verdana" w:eastAsia="Times New Roman" w:hAnsi="Verdana" w:cs="Times New Roman"/>
          <w:b/>
          <w:bCs/>
          <w:color w:val="000000"/>
          <w:kern w:val="36"/>
          <w:sz w:val="48"/>
          <w:szCs w:val="48"/>
        </w:rPr>
      </w:pPr>
      <w:r w:rsidRPr="00A94298">
        <w:rPr>
          <w:rFonts w:ascii="Verdana" w:eastAsia="Times New Roman" w:hAnsi="Verdana" w:cs="Times New Roman"/>
          <w:b/>
          <w:bCs/>
          <w:color w:val="000000"/>
          <w:kern w:val="36"/>
          <w:sz w:val="48"/>
          <w:szCs w:val="48"/>
        </w:rPr>
        <w:t>4. Zestawy uprawowe, maszyny kombinowane i wieloczynnościowe</w:t>
      </w:r>
    </w:p>
    <w:p w:rsidR="00A94298" w:rsidRPr="00A94298" w:rsidRDefault="00A94298" w:rsidP="00A94298">
      <w:pPr>
        <w:spacing w:after="0" w:line="240" w:lineRule="auto"/>
        <w:rPr>
          <w:rFonts w:ascii="Verdana" w:eastAsia="Times New Roman" w:hAnsi="Verdana" w:cs="Times New Roman"/>
          <w:color w:val="000000"/>
          <w:sz w:val="19"/>
          <w:szCs w:val="19"/>
        </w:rPr>
      </w:pP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Konieczność zmniejszenia energochłonności produkcji, skrócenia okresów agrotechnicznych, uproszczenia uprawy, stosowania uprawy </w:t>
      </w:r>
      <w:proofErr w:type="spellStart"/>
      <w:r w:rsidRPr="00A94298">
        <w:rPr>
          <w:rFonts w:ascii="Verdana" w:eastAsia="Times New Roman" w:hAnsi="Verdana" w:cs="Times New Roman"/>
          <w:color w:val="000000"/>
          <w:sz w:val="19"/>
          <w:szCs w:val="19"/>
        </w:rPr>
        <w:t>bezorkowej</w:t>
      </w:r>
      <w:proofErr w:type="spellEnd"/>
      <w:r w:rsidRPr="00A94298">
        <w:rPr>
          <w:rFonts w:ascii="Verdana" w:eastAsia="Times New Roman" w:hAnsi="Verdana" w:cs="Times New Roman"/>
          <w:color w:val="000000"/>
          <w:sz w:val="19"/>
          <w:szCs w:val="19"/>
        </w:rPr>
        <w:t>, ograniczenia liczby przejazdów ciągników i maszyn po polu - wymusza stosowanie takich kombinacji lub zestawów maszyn, które przy jednym przejeździe przygotowałyby rolę pod siew. Dąży się również do tego, aby równocześnie z uprawą roli wykonywać inne zabiegi agrotechniczne, np. wysiew nawozów i nasion oraz środków ochrony roślin. Sprostać tym wymaganiom mogą zestawy narzędzi uprawowych, uprawowe maszyny kombinowane oraz maszyny wieloczynnościowe.</w:t>
      </w:r>
    </w:p>
    <w:p w:rsidR="00A94298" w:rsidRPr="00A94298" w:rsidRDefault="00A94298" w:rsidP="00A94298">
      <w:pPr>
        <w:spacing w:before="100" w:beforeAutospacing="1" w:after="100" w:afterAutospacing="1" w:line="240" w:lineRule="auto"/>
        <w:outlineLvl w:val="1"/>
        <w:rPr>
          <w:rFonts w:ascii="Verdana" w:eastAsia="Times New Roman" w:hAnsi="Verdana" w:cs="Times New Roman"/>
          <w:b/>
          <w:bCs/>
          <w:color w:val="79B30B"/>
          <w:sz w:val="25"/>
          <w:szCs w:val="25"/>
        </w:rPr>
      </w:pPr>
      <w:bookmarkStart w:id="0" w:name="4.1"/>
      <w:r w:rsidRPr="00A94298">
        <w:rPr>
          <w:rFonts w:ascii="Verdana" w:eastAsia="Times New Roman" w:hAnsi="Verdana" w:cs="Times New Roman"/>
          <w:b/>
          <w:bCs/>
          <w:color w:val="79B30B"/>
          <w:sz w:val="25"/>
          <w:szCs w:val="25"/>
        </w:rPr>
        <w:t>4.1. Zestawy narzędzi uprawowych</w:t>
      </w:r>
      <w:bookmarkEnd w:id="0"/>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Zestaw uprawowy składa się z kilku narzędzi odpowiednio zestawionych i połączonych z sobą, z których każde wykonuje inny zabieg. Zestawy takie nazywane są także wieloszeregowymi, w odróżnieniu od jednoszeregowych, w których w jednym szeregu pracują dwa lub więcej narzędzi tego samego typu, i w których chodzi tylko o zwiększenie szerokości roboczej, a tym samym o wzrost wydajności pracy. Najprostszym zestawem uprawowym jest pług lemieszowy z narzędziem doprawiającym, np. broną zębową, broną kolczatką, wałem Campbella, wałem kruszącym. Narzędzie doprawiające przyczepiane jest z boku pługa do wysięgnika. Przykład takiego zestawu uprawowego przedstawia rycina 4.1.</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114925" cy="2542540"/>
            <wp:effectExtent l="19050" t="0" r="9525" b="0"/>
            <wp:docPr id="1" name="Obraz 1" descr="estaw uprawowy składający się z pługa przyczepianego i wału wgłębnego Campb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aw uprawowy składający się z pługa przyczepianego i wału wgłębnego Campbella"/>
                    <pic:cNvPicPr>
                      <a:picLocks noChangeAspect="1" noChangeArrowheads="1"/>
                    </pic:cNvPicPr>
                  </pic:nvPicPr>
                  <pic:blipFill>
                    <a:blip r:embed="rId4"/>
                    <a:srcRect/>
                    <a:stretch>
                      <a:fillRect/>
                    </a:stretch>
                  </pic:blipFill>
                  <pic:spPr bwMode="auto">
                    <a:xfrm>
                      <a:off x="0" y="0"/>
                      <a:ext cx="5114925" cy="2542540"/>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4.1. Zestaw uprawowy składający się z pługa przyczepianego i wału wgłębnego Campbella</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 xml:space="preserve">Źródło: </w:t>
      </w:r>
      <w:proofErr w:type="spellStart"/>
      <w:r w:rsidRPr="00A94298">
        <w:rPr>
          <w:rFonts w:ascii="Verdana" w:eastAsia="Times New Roman" w:hAnsi="Verdana" w:cs="Times New Roman"/>
          <w:i/>
          <w:iCs/>
          <w:color w:val="000000"/>
          <w:sz w:val="19"/>
          <w:szCs w:val="19"/>
        </w:rPr>
        <w:t>Łaszczyk</w:t>
      </w:r>
      <w:proofErr w:type="spellEnd"/>
      <w:r w:rsidRPr="00A94298">
        <w:rPr>
          <w:rFonts w:ascii="Verdana" w:eastAsia="Times New Roman" w:hAnsi="Verdana" w:cs="Times New Roman"/>
          <w:i/>
          <w:iCs/>
          <w:color w:val="000000"/>
          <w:sz w:val="19"/>
          <w:szCs w:val="19"/>
        </w:rPr>
        <w:t xml:space="preserve"> 1979</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Proste zestawy uprawowe nie przygotowują roli bezpośrednio pod siew, szczególnie na glebach średnich i ciężkich. Do jednorazowego przygotowania zaoranej i odleżałej roli pod </w:t>
      </w:r>
      <w:r w:rsidRPr="00A94298">
        <w:rPr>
          <w:rFonts w:ascii="Verdana" w:eastAsia="Times New Roman" w:hAnsi="Verdana" w:cs="Times New Roman"/>
          <w:color w:val="000000"/>
          <w:sz w:val="19"/>
          <w:szCs w:val="19"/>
        </w:rPr>
        <w:lastRenderedPageBreak/>
        <w:t>siew służą zestawy różnych narzędzi doprawiających. Najprostszym zestawem jest kultywator z zębami sprężynowymi i brona zębowa lekka lub średnia. Jeżeli kultywator jest narzędziem zawieszanym, to do połączenia z broną musi mieć ramę wydłużoną do tyłu, zakończoną wysięgnikami. Wysięgniki te mają otwory, w które wkłada się czopy następnego narzędzia, w danym przypadku brony zębowej. Stojak pierwszego narzędzia połączony jest ze stojakiem drugiego narzędzia łącznikiem w postaci dwustronnej śruby z nakrętką w środku. Przykład takiego zestawu przedstawia rycina 4.2.</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114925" cy="2280920"/>
            <wp:effectExtent l="19050" t="0" r="9525" b="0"/>
            <wp:docPr id="2" name="Obraz 2" descr="Zestaw uprawowy zawiesz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staw uprawowy zawieszany"/>
                    <pic:cNvPicPr>
                      <a:picLocks noChangeAspect="1" noChangeArrowheads="1"/>
                    </pic:cNvPicPr>
                  </pic:nvPicPr>
                  <pic:blipFill>
                    <a:blip r:embed="rId5"/>
                    <a:srcRect/>
                    <a:stretch>
                      <a:fillRect/>
                    </a:stretch>
                  </pic:blipFill>
                  <pic:spPr bwMode="auto">
                    <a:xfrm>
                      <a:off x="0" y="0"/>
                      <a:ext cx="5114925" cy="2280920"/>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4.2. Zestaw uprawowy zawieszany:</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1 - kultywator, 2 - brona zębowa, 3 - belka mocująca ramę kultywatora, 4 - rama ze stojakiem, 5 - wysięgniki do podwieszania sekcji (pól) bron, 6 - łącznik, 7 - wysięgnik z blokowaniem</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Zamiast łączenia narzędzi za pomocą śruby dwustronnej, można stosować stojaki, tzw. szybkozłącza. W tym przypadku narzędzie musi mieć dwa stojaki z przodu i z tyłu, a tylko narzędzie ostatnie w zestawie nie potrzebuje tylnego stojaka. Zestaw uprawowy trójnarzędziowy z połączeniem </w:t>
      </w:r>
      <w:proofErr w:type="spellStart"/>
      <w:r w:rsidRPr="00A94298">
        <w:rPr>
          <w:rFonts w:ascii="Verdana" w:eastAsia="Times New Roman" w:hAnsi="Verdana" w:cs="Times New Roman"/>
          <w:color w:val="000000"/>
          <w:sz w:val="19"/>
          <w:szCs w:val="19"/>
        </w:rPr>
        <w:t>szybkozłącznym</w:t>
      </w:r>
      <w:proofErr w:type="spellEnd"/>
      <w:r w:rsidRPr="00A94298">
        <w:rPr>
          <w:rFonts w:ascii="Verdana" w:eastAsia="Times New Roman" w:hAnsi="Verdana" w:cs="Times New Roman"/>
          <w:color w:val="000000"/>
          <w:sz w:val="19"/>
          <w:szCs w:val="19"/>
        </w:rPr>
        <w:t xml:space="preserve"> przedstawia rycina 4.3.</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567430" cy="1527175"/>
            <wp:effectExtent l="19050" t="0" r="0" b="0"/>
            <wp:docPr id="3" name="Obraz 3" descr="Zestaw uprawowy zawieszany, trójnarzędzi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estaw uprawowy zawieszany, trójnarzędziowy"/>
                    <pic:cNvPicPr>
                      <a:picLocks noChangeAspect="1" noChangeArrowheads="1"/>
                    </pic:cNvPicPr>
                  </pic:nvPicPr>
                  <pic:blipFill>
                    <a:blip r:embed="rId6"/>
                    <a:srcRect/>
                    <a:stretch>
                      <a:fillRect/>
                    </a:stretch>
                  </pic:blipFill>
                  <pic:spPr bwMode="auto">
                    <a:xfrm>
                      <a:off x="0" y="0"/>
                      <a:ext cx="3567430" cy="152717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4.3. Zestaw uprawowy zawieszany, trójnarzędziowy:</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1 - szybkozłącza zawieszeń, 2 - kultywator, 3 - podwójny wał strunowy, 4 - brona zębowa lekka</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Mniej wygodny w użyciu, ale za to bardziej wydajny, jest agregat zawieszano przyczepiany przedstawiony na rycinie 4.4. Przeznaczony jest on do pracy na dużych polach. </w:t>
      </w:r>
      <w:r w:rsidRPr="00A94298">
        <w:rPr>
          <w:rFonts w:ascii="Verdana" w:eastAsia="Times New Roman" w:hAnsi="Verdana" w:cs="Times New Roman"/>
          <w:color w:val="000000"/>
          <w:sz w:val="19"/>
          <w:szCs w:val="19"/>
        </w:rPr>
        <w:lastRenderedPageBreak/>
        <w:t>Pierwszym zawieszanym narzędziem w zestawie może być ciężka brona zębowa albo kultywator. Przy dużej szerokości roboczej tego narzędzia zawieszanie na nim innych narzędzi dałoby zbyt ciężki agregat. Dlatego też następne narzędzia są przyczepiane do ciągnika za pomocą układu łańcuchów lub cięgieł. Narzędzia zestawione w taki sposób nie wymagają żadnych konstrukcyjnych przystosowań.</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858260" cy="3496945"/>
            <wp:effectExtent l="19050" t="0" r="8890" b="0"/>
            <wp:docPr id="4" name="Obraz 4" descr="Czteronarzędziowy zestaw upraw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zteronarzędziowy zestaw uprawowy"/>
                    <pic:cNvPicPr>
                      <a:picLocks noChangeAspect="1" noChangeArrowheads="1"/>
                    </pic:cNvPicPr>
                  </pic:nvPicPr>
                  <pic:blipFill>
                    <a:blip r:embed="rId7"/>
                    <a:srcRect/>
                    <a:stretch>
                      <a:fillRect/>
                    </a:stretch>
                  </pic:blipFill>
                  <pic:spPr bwMode="auto">
                    <a:xfrm>
                      <a:off x="0" y="0"/>
                      <a:ext cx="3858260" cy="349694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4.4. Czteronarzędziowy zestaw uprawowy:</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1 - brona zębowa zawieszana ciężka, 2 - wały strunowe, 3 - włóka, 4 - brona zębowa lekka</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before="100" w:beforeAutospacing="1" w:after="100" w:afterAutospacing="1" w:line="240" w:lineRule="auto"/>
        <w:outlineLvl w:val="1"/>
        <w:rPr>
          <w:rFonts w:ascii="Verdana" w:eastAsia="Times New Roman" w:hAnsi="Verdana" w:cs="Times New Roman"/>
          <w:b/>
          <w:bCs/>
          <w:color w:val="79B30B"/>
          <w:sz w:val="25"/>
          <w:szCs w:val="25"/>
        </w:rPr>
      </w:pPr>
      <w:bookmarkStart w:id="1" w:name="4.2"/>
      <w:r w:rsidRPr="00A94298">
        <w:rPr>
          <w:rFonts w:ascii="Verdana" w:eastAsia="Times New Roman" w:hAnsi="Verdana" w:cs="Times New Roman"/>
          <w:b/>
          <w:bCs/>
          <w:color w:val="79B30B"/>
          <w:sz w:val="25"/>
          <w:szCs w:val="25"/>
        </w:rPr>
        <w:t>4.2. Maszyny kombinowane</w:t>
      </w:r>
      <w:bookmarkEnd w:id="1"/>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Maszyny uprawowe zaopatrzone zarówno w czynne, jak i bierne zespoły robocze nazywane są uprawowymi maszynami kombinowanymi. Maszyny kombinowane łączą zalety maszyn czynnych i narzędzi biernych, mogą też stawiać mniejsze opory i wykazywać mniejszą pracę jednostkową niż maszyny czynne.</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Maszyny kombinowane można podzielić pod względem działania na dwie zasadnicze grupy. Pierwszą grupę stanowią maszyny mające tak usytuowane zespoły czynne i bierne, że pracują one niezależnie od siebie. W tym układzie czynne zespoły robocze pracują w innej warstwie gleby niż zespoły bierne. Do drugiej grupy zaliczamy te maszyny, w których czynne zespoły robocze pracują równocześnie w całej lub części warstwy gleby, którą spulchniają zespoły bierne albo odwrotnie, zespoły bierne pracują w całej lub części warstwy gleby spulchnionej przez zespoły czynne. W dwuszeregowym ustawieniu zespołów - czynnego i biernego - następuje ich współdziałanie w spulchnianiu gleby. Maszyny grupy pierwszej nazywać można maszynami o działaniu niezależnym, a drugiej - o działaniu zależnym.</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Przedstawicielem grupy pierwszej może być pług z obrotowymi pogłębiaczami. Pogłębiacze tej maszyny spulchniają dna bruzd wyoranych przez korpusy płużne. W tym układzie pracę każdego zespołu można traktować niezależnie od pracy innych zespołów. Innym przykładem maszyny kombinowanej o działaniu niezależnym jest pług lemieszowy z </w:t>
      </w:r>
      <w:r w:rsidRPr="00A94298">
        <w:rPr>
          <w:rFonts w:ascii="Verdana" w:eastAsia="Times New Roman" w:hAnsi="Verdana" w:cs="Times New Roman"/>
          <w:color w:val="000000"/>
          <w:sz w:val="19"/>
          <w:szCs w:val="19"/>
        </w:rPr>
        <w:lastRenderedPageBreak/>
        <w:t>broną wahadłową. Brona usytuowana jest bocznie względem pługa i spulchnia skiby wyorane przez pług w poprzednim przejeździe. Napęd brony przenoszony jest poprzez belkę nośną mocowaną bocznie do ramy pługa. Na ramie pługa ułożyskowana jest tarcza z korbą, która za pośrednictwem korbowodu napędza dwie belki brony wahadłowej. Przykłady maszyn należących do tej grupy przedstawiono na rycinie 4.5.</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7265035" cy="3838575"/>
            <wp:effectExtent l="19050" t="0" r="0" b="0"/>
            <wp:docPr id="5" name="Obraz 5" descr="Schemat pługa zawieszanego z pogłębiaczem obrot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hemat pługa zawieszanego z pogłębiaczem obrotowym"/>
                    <pic:cNvPicPr>
                      <a:picLocks noChangeAspect="1" noChangeArrowheads="1"/>
                    </pic:cNvPicPr>
                  </pic:nvPicPr>
                  <pic:blipFill>
                    <a:blip r:embed="rId8"/>
                    <a:srcRect/>
                    <a:stretch>
                      <a:fillRect/>
                    </a:stretch>
                  </pic:blipFill>
                  <pic:spPr bwMode="auto">
                    <a:xfrm>
                      <a:off x="0" y="0"/>
                      <a:ext cx="7265035" cy="383857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4.5. Schemat pługa zawieszanego z pogłębiaczem obrotowym (a):</w:t>
      </w:r>
    </w:p>
    <w:p w:rsidR="00A94298" w:rsidRPr="00A94298" w:rsidRDefault="00A94298" w:rsidP="00A94298">
      <w:pPr>
        <w:spacing w:after="0" w:line="240" w:lineRule="auto"/>
        <w:rPr>
          <w:rFonts w:ascii="Verdana" w:eastAsia="Times New Roman" w:hAnsi="Verdana" w:cs="Times New Roman"/>
          <w:color w:val="000000"/>
          <w:sz w:val="19"/>
          <w:szCs w:val="19"/>
        </w:rPr>
      </w:pPr>
      <w:proofErr w:type="spellStart"/>
      <w:r w:rsidRPr="00A94298">
        <w:rPr>
          <w:rFonts w:ascii="Verdana" w:eastAsia="Times New Roman" w:hAnsi="Verdana" w:cs="Times New Roman"/>
          <w:i/>
          <w:iCs/>
          <w:color w:val="000000"/>
          <w:sz w:val="19"/>
          <w:szCs w:val="19"/>
        </w:rPr>
        <w:t>a</w:t>
      </w:r>
      <w:r w:rsidRPr="00A94298">
        <w:rPr>
          <w:rFonts w:ascii="Verdana" w:eastAsia="Times New Roman" w:hAnsi="Verdana" w:cs="Times New Roman"/>
          <w:i/>
          <w:iCs/>
          <w:color w:val="000000"/>
          <w:sz w:val="19"/>
          <w:szCs w:val="19"/>
          <w:vertAlign w:val="subscript"/>
        </w:rPr>
        <w:t>c</w:t>
      </w:r>
      <w:proofErr w:type="spellEnd"/>
      <w:r w:rsidRPr="00A94298">
        <w:rPr>
          <w:rFonts w:ascii="Verdana" w:eastAsia="Times New Roman" w:hAnsi="Verdana" w:cs="Times New Roman"/>
          <w:color w:val="000000"/>
          <w:sz w:val="19"/>
        </w:rPr>
        <w:t> </w:t>
      </w:r>
      <w:r w:rsidRPr="00A94298">
        <w:rPr>
          <w:rFonts w:ascii="Verdana" w:eastAsia="Times New Roman" w:hAnsi="Verdana" w:cs="Times New Roman"/>
          <w:color w:val="000000"/>
          <w:sz w:val="19"/>
          <w:szCs w:val="19"/>
        </w:rPr>
        <w:t xml:space="preserve">- głębokość pogłębiania warstwy </w:t>
      </w:r>
      <w:proofErr w:type="spellStart"/>
      <w:r w:rsidRPr="00A94298">
        <w:rPr>
          <w:rFonts w:ascii="Verdana" w:eastAsia="Times New Roman" w:hAnsi="Verdana" w:cs="Times New Roman"/>
          <w:color w:val="000000"/>
          <w:sz w:val="19"/>
          <w:szCs w:val="19"/>
        </w:rPr>
        <w:t>podpłużnej</w:t>
      </w:r>
      <w:proofErr w:type="spellEnd"/>
      <w:r w:rsidRPr="00A94298">
        <w:rPr>
          <w:rFonts w:ascii="Verdana" w:eastAsia="Times New Roman" w:hAnsi="Verdana" w:cs="Times New Roman"/>
          <w:color w:val="000000"/>
          <w:sz w:val="19"/>
          <w:szCs w:val="19"/>
        </w:rPr>
        <w:t>,</w:t>
      </w:r>
      <w:r w:rsidRPr="00A94298">
        <w:rPr>
          <w:rFonts w:ascii="Verdana" w:eastAsia="Times New Roman" w:hAnsi="Verdana" w:cs="Times New Roman"/>
          <w:color w:val="000000"/>
          <w:sz w:val="19"/>
        </w:rPr>
        <w:t> </w:t>
      </w:r>
      <w:r w:rsidRPr="00A94298">
        <w:rPr>
          <w:rFonts w:ascii="Verdana" w:eastAsia="Times New Roman" w:hAnsi="Verdana" w:cs="Times New Roman"/>
          <w:i/>
          <w:iCs/>
          <w:color w:val="000000"/>
          <w:sz w:val="19"/>
          <w:szCs w:val="19"/>
        </w:rPr>
        <w:t>a</w:t>
      </w:r>
      <w:r w:rsidRPr="00A94298">
        <w:rPr>
          <w:rFonts w:ascii="Verdana" w:eastAsia="Times New Roman" w:hAnsi="Verdana" w:cs="Times New Roman"/>
          <w:i/>
          <w:iCs/>
          <w:color w:val="000000"/>
          <w:sz w:val="19"/>
          <w:szCs w:val="19"/>
          <w:vertAlign w:val="subscript"/>
        </w:rPr>
        <w:t>b</w:t>
      </w:r>
      <w:r w:rsidRPr="00A94298">
        <w:rPr>
          <w:rFonts w:ascii="Verdana" w:eastAsia="Times New Roman" w:hAnsi="Verdana" w:cs="Times New Roman"/>
          <w:color w:val="000000"/>
          <w:sz w:val="19"/>
        </w:rPr>
        <w:t> </w:t>
      </w:r>
      <w:r w:rsidRPr="00A94298">
        <w:rPr>
          <w:rFonts w:ascii="Verdana" w:eastAsia="Times New Roman" w:hAnsi="Verdana" w:cs="Times New Roman"/>
          <w:color w:val="000000"/>
          <w:sz w:val="19"/>
          <w:szCs w:val="19"/>
        </w:rPr>
        <w:t>- głębokość robocza korpusu pługa,</w:t>
      </w:r>
      <w:r w:rsidRPr="00A94298">
        <w:rPr>
          <w:rFonts w:ascii="Verdana" w:eastAsia="Times New Roman" w:hAnsi="Verdana" w:cs="Times New Roman"/>
          <w:color w:val="000000"/>
          <w:sz w:val="19"/>
        </w:rPr>
        <w:t> </w:t>
      </w:r>
      <w:proofErr w:type="spellStart"/>
      <w:r w:rsidRPr="00A94298">
        <w:rPr>
          <w:rFonts w:ascii="Verdana" w:eastAsia="Times New Roman" w:hAnsi="Verdana" w:cs="Times New Roman"/>
          <w:i/>
          <w:iCs/>
          <w:color w:val="000000"/>
          <w:sz w:val="19"/>
          <w:szCs w:val="19"/>
        </w:rPr>
        <w:t>b</w:t>
      </w:r>
      <w:r w:rsidRPr="00A94298">
        <w:rPr>
          <w:rFonts w:ascii="Verdana" w:eastAsia="Times New Roman" w:hAnsi="Verdana" w:cs="Times New Roman"/>
          <w:i/>
          <w:iCs/>
          <w:color w:val="000000"/>
          <w:sz w:val="19"/>
          <w:szCs w:val="19"/>
          <w:vertAlign w:val="subscript"/>
        </w:rPr>
        <w:t>c</w:t>
      </w:r>
      <w:proofErr w:type="spellEnd"/>
      <w:r w:rsidRPr="00A94298">
        <w:rPr>
          <w:rFonts w:ascii="Verdana" w:eastAsia="Times New Roman" w:hAnsi="Verdana" w:cs="Times New Roman"/>
          <w:color w:val="000000"/>
          <w:sz w:val="19"/>
        </w:rPr>
        <w:t> </w:t>
      </w:r>
      <w:r w:rsidRPr="00A94298">
        <w:rPr>
          <w:rFonts w:ascii="Verdana" w:eastAsia="Times New Roman" w:hAnsi="Verdana" w:cs="Times New Roman"/>
          <w:color w:val="000000"/>
          <w:sz w:val="19"/>
          <w:szCs w:val="19"/>
        </w:rPr>
        <w:t>- szerokość pogłębiacza,</w:t>
      </w:r>
      <w:r w:rsidRPr="00A94298">
        <w:rPr>
          <w:rFonts w:ascii="Verdana" w:eastAsia="Times New Roman" w:hAnsi="Verdana" w:cs="Times New Roman"/>
          <w:color w:val="000000"/>
          <w:sz w:val="19"/>
        </w:rPr>
        <w:t> </w:t>
      </w:r>
      <w:proofErr w:type="spellStart"/>
      <w:r w:rsidRPr="00A94298">
        <w:rPr>
          <w:rFonts w:ascii="Verdana" w:eastAsia="Times New Roman" w:hAnsi="Verdana" w:cs="Times New Roman"/>
          <w:i/>
          <w:iCs/>
          <w:color w:val="000000"/>
          <w:sz w:val="19"/>
          <w:szCs w:val="19"/>
        </w:rPr>
        <w:t>b</w:t>
      </w:r>
      <w:r w:rsidRPr="00A94298">
        <w:rPr>
          <w:rFonts w:ascii="Verdana" w:eastAsia="Times New Roman" w:hAnsi="Verdana" w:cs="Times New Roman"/>
          <w:i/>
          <w:iCs/>
          <w:color w:val="000000"/>
          <w:sz w:val="19"/>
          <w:szCs w:val="19"/>
          <w:vertAlign w:val="subscript"/>
        </w:rPr>
        <w:t>b</w:t>
      </w:r>
      <w:proofErr w:type="spellEnd"/>
      <w:r w:rsidRPr="00A94298">
        <w:rPr>
          <w:rFonts w:ascii="Verdana" w:eastAsia="Times New Roman" w:hAnsi="Verdana" w:cs="Times New Roman"/>
          <w:color w:val="000000"/>
          <w:sz w:val="19"/>
        </w:rPr>
        <w:t> </w:t>
      </w:r>
      <w:r w:rsidRPr="00A94298">
        <w:rPr>
          <w:rFonts w:ascii="Verdana" w:eastAsia="Times New Roman" w:hAnsi="Verdana" w:cs="Times New Roman"/>
          <w:color w:val="000000"/>
          <w:sz w:val="19"/>
          <w:szCs w:val="19"/>
        </w:rPr>
        <w:t>- szerokość korpusu pługa,</w:t>
      </w:r>
      <w:r w:rsidRPr="00A94298">
        <w:rPr>
          <w:rFonts w:ascii="Verdana" w:eastAsia="Times New Roman" w:hAnsi="Verdana" w:cs="Times New Roman"/>
          <w:color w:val="000000"/>
          <w:sz w:val="19"/>
        </w:rPr>
        <w:t> </w:t>
      </w:r>
      <w:proofErr w:type="spellStart"/>
      <w:r w:rsidRPr="00A94298">
        <w:rPr>
          <w:rFonts w:ascii="Verdana" w:eastAsia="Times New Roman" w:hAnsi="Verdana" w:cs="Times New Roman"/>
          <w:i/>
          <w:iCs/>
          <w:color w:val="000000"/>
          <w:sz w:val="19"/>
          <w:szCs w:val="19"/>
        </w:rPr>
        <w:t>d</w:t>
      </w:r>
      <w:r w:rsidRPr="00A94298">
        <w:rPr>
          <w:rFonts w:ascii="Verdana" w:eastAsia="Times New Roman" w:hAnsi="Verdana" w:cs="Times New Roman"/>
          <w:i/>
          <w:iCs/>
          <w:color w:val="000000"/>
          <w:sz w:val="19"/>
          <w:szCs w:val="19"/>
          <w:vertAlign w:val="subscript"/>
        </w:rPr>
        <w:t>k</w:t>
      </w:r>
      <w:proofErr w:type="spellEnd"/>
      <w:r w:rsidRPr="00A94298">
        <w:rPr>
          <w:rFonts w:ascii="Verdana" w:eastAsia="Times New Roman" w:hAnsi="Verdana" w:cs="Times New Roman"/>
          <w:color w:val="000000"/>
          <w:sz w:val="19"/>
        </w:rPr>
        <w:t> </w:t>
      </w:r>
      <w:r w:rsidRPr="00A94298">
        <w:rPr>
          <w:rFonts w:ascii="Verdana" w:eastAsia="Times New Roman" w:hAnsi="Verdana" w:cs="Times New Roman"/>
          <w:color w:val="000000"/>
          <w:sz w:val="19"/>
          <w:szCs w:val="19"/>
        </w:rPr>
        <w:t>- głębokość robocza pogłębiacza; pług zawieszany z broną wahadłową (b): 1 - rama pługa, 2 - stojak, 3 - belka nośna brony, 4 - belki zębowe brony, 5 - wahacze, 6 - korbowód, 7 - tarcza z korbą, 8 - łożysko, 9 - sprzęgło elastyczne, 10 - wałek napędowy</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Przedstawicielem maszyn należących do grupy drugiej (o działaniu zależnym) może być maszyna kombinowana zbudowana z zębów kultywatora i bębna glebogryzarki. Wzajemne usytuowanie tych dwóch zespołów może być dowolne. Inną maszyną o działaniu zależnym jest kombinacja pługa klasycznego z obrotowymi spulchniaczami, nazywana </w:t>
      </w:r>
      <w:proofErr w:type="spellStart"/>
      <w:r w:rsidRPr="00A94298">
        <w:rPr>
          <w:rFonts w:ascii="Verdana" w:eastAsia="Times New Roman" w:hAnsi="Verdana" w:cs="Times New Roman"/>
          <w:color w:val="000000"/>
          <w:sz w:val="19"/>
          <w:szCs w:val="19"/>
        </w:rPr>
        <w:t>pługofrezarką</w:t>
      </w:r>
      <w:proofErr w:type="spellEnd"/>
      <w:r w:rsidRPr="00A94298">
        <w:rPr>
          <w:rFonts w:ascii="Verdana" w:eastAsia="Times New Roman" w:hAnsi="Verdana" w:cs="Times New Roman"/>
          <w:color w:val="000000"/>
          <w:sz w:val="19"/>
          <w:szCs w:val="19"/>
        </w:rPr>
        <w:t>. Korpusy płużne mają obcięte skrzydła odkładnic, a w te miejsca wstawione są wirniki z kilkoma szeregami noży, obracającymi się wokół pionowej osi. Noże spulchniają schodzącą ze skróconej odkładnicy skibę i przemieszczają ją na poprzednią, już wyoraną i spulchnioną. Wirniki mogą być napędzane przekładniami łańcuchowymi lub pasowymi o pasach klinowych. Przez zmianę kół łańcuchowych lub pasowych można uzyskać zmianę prędkości obrotowej wirników. Taki system eliminuje skrzynkę przekładniową. Wirniki mają kształt odwróconego stożka, a noże mogą być na nim usytuowane spiralnie lub prostopadle do podstawy stożka wirnika. Duża liczba noży i nieduże opory skrawania częściowo spulchnionych przez korpusy skib powodują, że rozstawienie noży na wirnikach nie musi być tak precyzyjne jak w glebogryzarkach lub innych maszynach obrotowych. Omawiane maszyny przedstawione są na rycinach 4.6 i 4.7.</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938135" cy="3928745"/>
            <wp:effectExtent l="19050" t="0" r="5715" b="0"/>
            <wp:docPr id="6" name="Obraz 6" descr="Schemat maszyny kombinowanej z kultywatora i glebogryza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hemat maszyny kombinowanej z kultywatora i glebogryzarki"/>
                    <pic:cNvPicPr>
                      <a:picLocks noChangeAspect="1" noChangeArrowheads="1"/>
                    </pic:cNvPicPr>
                  </pic:nvPicPr>
                  <pic:blipFill>
                    <a:blip r:embed="rId9"/>
                    <a:srcRect/>
                    <a:stretch>
                      <a:fillRect/>
                    </a:stretch>
                  </pic:blipFill>
                  <pic:spPr bwMode="auto">
                    <a:xfrm>
                      <a:off x="0" y="0"/>
                      <a:ext cx="7938135" cy="392874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4.6. Schemat maszyny kombinowanej z kultywatora i glebogryzarki:</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a - ząb kultywatora przed bębnem glebogryzarki, b - ząb kultywatora za bębnem glebogryzarki; </w:t>
      </w:r>
      <w:proofErr w:type="spellStart"/>
      <w:r w:rsidRPr="00A94298">
        <w:rPr>
          <w:rFonts w:ascii="Verdana" w:eastAsia="Times New Roman" w:hAnsi="Verdana" w:cs="Times New Roman"/>
          <w:color w:val="000000"/>
          <w:sz w:val="19"/>
          <w:szCs w:val="19"/>
        </w:rPr>
        <w:t>ac</w:t>
      </w:r>
      <w:proofErr w:type="spellEnd"/>
      <w:r w:rsidRPr="00A94298">
        <w:rPr>
          <w:rFonts w:ascii="Verdana" w:eastAsia="Times New Roman" w:hAnsi="Verdana" w:cs="Times New Roman"/>
          <w:color w:val="000000"/>
          <w:sz w:val="19"/>
          <w:szCs w:val="19"/>
        </w:rPr>
        <w:t xml:space="preserve"> - głębokość robocza glebogryzarki, ab - głębokość robocza kultywatora</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4732655" cy="3456940"/>
            <wp:effectExtent l="19050" t="0" r="0" b="0"/>
            <wp:docPr id="7" name="Obraz 7" descr="Pług kombinowany ze spulchniaczami obrotowymi (pługofrezar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ług kombinowany ze spulchniaczami obrotowymi (pługofrezarka)"/>
                    <pic:cNvPicPr>
                      <a:picLocks noChangeAspect="1" noChangeArrowheads="1"/>
                    </pic:cNvPicPr>
                  </pic:nvPicPr>
                  <pic:blipFill>
                    <a:blip r:embed="rId10"/>
                    <a:srcRect/>
                    <a:stretch>
                      <a:fillRect/>
                    </a:stretch>
                  </pic:blipFill>
                  <pic:spPr bwMode="auto">
                    <a:xfrm>
                      <a:off x="0" y="0"/>
                      <a:ext cx="4732655" cy="3456940"/>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lastRenderedPageBreak/>
        <w:t>Ryc. 4.7. Pług kombinowany ze spulchniaczami obrotowymi (</w:t>
      </w:r>
      <w:proofErr w:type="spellStart"/>
      <w:r w:rsidRPr="00A94298">
        <w:rPr>
          <w:rFonts w:ascii="Verdana" w:eastAsia="Times New Roman" w:hAnsi="Verdana" w:cs="Times New Roman"/>
          <w:b/>
          <w:bCs/>
          <w:color w:val="445522"/>
          <w:sz w:val="19"/>
          <w:szCs w:val="19"/>
        </w:rPr>
        <w:t>pługofrezarka</w:t>
      </w:r>
      <w:proofErr w:type="spellEnd"/>
      <w:r w:rsidRPr="00A94298">
        <w:rPr>
          <w:rFonts w:ascii="Verdana" w:eastAsia="Times New Roman" w:hAnsi="Verdana" w:cs="Times New Roman"/>
          <w:b/>
          <w:bCs/>
          <w:color w:val="445522"/>
          <w:sz w:val="19"/>
          <w:szCs w:val="19"/>
        </w:rPr>
        <w:t>):</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1 - rama ze stojakiem, 2 - korpus pługa, 3 - wirnik spulchniacza, 4 - przekładnia pasowa z pasami klinowymi, 5 - przedpłużek</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before="100" w:beforeAutospacing="1" w:after="100" w:afterAutospacing="1" w:line="240" w:lineRule="auto"/>
        <w:outlineLvl w:val="1"/>
        <w:rPr>
          <w:rFonts w:ascii="Verdana" w:eastAsia="Times New Roman" w:hAnsi="Verdana" w:cs="Times New Roman"/>
          <w:b/>
          <w:bCs/>
          <w:color w:val="79B30B"/>
          <w:sz w:val="25"/>
          <w:szCs w:val="25"/>
        </w:rPr>
      </w:pPr>
      <w:bookmarkStart w:id="2" w:name="4.3"/>
      <w:r w:rsidRPr="00A94298">
        <w:rPr>
          <w:rFonts w:ascii="Verdana" w:eastAsia="Times New Roman" w:hAnsi="Verdana" w:cs="Times New Roman"/>
          <w:b/>
          <w:bCs/>
          <w:color w:val="79B30B"/>
          <w:sz w:val="25"/>
          <w:szCs w:val="25"/>
        </w:rPr>
        <w:t>4.3. Maszyny wieloczynnościowe</w:t>
      </w:r>
      <w:bookmarkEnd w:id="2"/>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Maszyny wieloczynnościowe oprócz uprawy roli używane są również do innych zabiegów agrotechnicznych, takich jak: siew nawozów czy nasion, sadzenie, chemiczna pielęgnacja i ochrona roślin. Podstawę (bazę) maszyn wieloczynnościowych stanowią przede wszystkim czynne lub kombinowane maszyny uprawowe. Pod względem budowy możemy je podzielić na agregaty (zestawy) i kombajny uprawowo siewne.</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Agregaty uprawowo siewne tworzą określone maszyny odpowiednio z sobą połączone. Przykładem takiego agregatu może być glebogryzarka z wałem doprawiającym i siewnikiem do nasion lub brona wahadłowa z wałem doprawiającym i siewnikiem do nasion. Siewnik jest nabudowywany lub też zawieszany na specjalnym układzie zawieszenia, który umożliwia podniesienie siewnika ponad bronę lub glebogryzarkę, a całość zestawu podnoszona jest do transportu podnośnikiem hydraulicznym ciągnika (ryc. 4.8). Brona wahadłowa lub glebogryzarka o szerokości roboczej siewnika wykonują uprawę na polu poprzednio zaoranym, na ściernisku lub polu nie uprawionym, a siewnik z redlicami klasycznymi lub tarczowymi wykonuje siew zgodnie z wymogami agrotechniki. Przykłady zestawów na bazie glebogryzarki przedstawiają ryciny 4.9, 4.10 i 4.11, a na bazie brony wahadłowej ryciny 4.12 i 4.13. Maszyną podstawową może być również kultywator obrotowy. Zestaw uprawowy czteroczęściowy, składający się z bron talerzowych i kultywatorów o zębach sprężynowych i sztywnych oraz przedsiewne przygotowanie gleby zwięzłej do siewu przedstawiono na rycinie 4.14.</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5003800" cy="4933950"/>
            <wp:effectExtent l="19050" t="0" r="6350" b="0"/>
            <wp:docPr id="8" name="Obraz 8" descr="Zestaw upraw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estaw uprawowy"/>
                    <pic:cNvPicPr>
                      <a:picLocks noChangeAspect="1" noChangeArrowheads="1"/>
                    </pic:cNvPicPr>
                  </pic:nvPicPr>
                  <pic:blipFill>
                    <a:blip r:embed="rId11"/>
                    <a:srcRect/>
                    <a:stretch>
                      <a:fillRect/>
                    </a:stretch>
                  </pic:blipFill>
                  <pic:spPr bwMode="auto">
                    <a:xfrm>
                      <a:off x="0" y="0"/>
                      <a:ext cx="5003800" cy="4933950"/>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4.8. Zestaw uprawowy (</w:t>
      </w:r>
      <w:proofErr w:type="spellStart"/>
      <w:r w:rsidRPr="00A94298">
        <w:rPr>
          <w:rFonts w:ascii="Verdana" w:eastAsia="Times New Roman" w:hAnsi="Verdana" w:cs="Times New Roman"/>
          <w:b/>
          <w:bCs/>
          <w:color w:val="445522"/>
          <w:sz w:val="19"/>
          <w:szCs w:val="19"/>
        </w:rPr>
        <w:t>Amazone</w:t>
      </w:r>
      <w:proofErr w:type="spellEnd"/>
      <w:r w:rsidRPr="00A94298">
        <w:rPr>
          <w:rFonts w:ascii="Verdana" w:eastAsia="Times New Roman" w:hAnsi="Verdana" w:cs="Times New Roman"/>
          <w:b/>
          <w:bCs/>
          <w:color w:val="445522"/>
          <w:sz w:val="19"/>
          <w:szCs w:val="19"/>
        </w:rPr>
        <w:t>):</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brona wahadłowa, wał doprawiający i siewnik do nasion w położeniu transportowym</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4210050" cy="3004185"/>
            <wp:effectExtent l="19050" t="0" r="0" b="0"/>
            <wp:docPr id="9" name="Obraz 9" descr="Schemat zestawu uprawowo sie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hemat zestawu uprawowo siewnego"/>
                    <pic:cNvPicPr>
                      <a:picLocks noChangeAspect="1" noChangeArrowheads="1"/>
                    </pic:cNvPicPr>
                  </pic:nvPicPr>
                  <pic:blipFill>
                    <a:blip r:embed="rId12"/>
                    <a:srcRect/>
                    <a:stretch>
                      <a:fillRect/>
                    </a:stretch>
                  </pic:blipFill>
                  <pic:spPr bwMode="auto">
                    <a:xfrm>
                      <a:off x="0" y="0"/>
                      <a:ext cx="4210050" cy="300418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lastRenderedPageBreak/>
        <w:t>Ryc. 4.9. Schemat zestawu uprawowo siewnego:</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1 - glebogryzarka, 2 - rama glebogryzarki, 3 - siewnik zawieszany (</w:t>
      </w:r>
      <w:proofErr w:type="spellStart"/>
      <w:r w:rsidRPr="00A94298">
        <w:rPr>
          <w:rFonts w:ascii="Verdana" w:eastAsia="Times New Roman" w:hAnsi="Verdana" w:cs="Times New Roman"/>
          <w:color w:val="000000"/>
          <w:sz w:val="19"/>
          <w:szCs w:val="19"/>
        </w:rPr>
        <w:t>Stoklanda</w:t>
      </w:r>
      <w:proofErr w:type="spellEnd"/>
      <w:r w:rsidRPr="00A94298">
        <w:rPr>
          <w:rFonts w:ascii="Verdana" w:eastAsia="Times New Roman" w:hAnsi="Verdana" w:cs="Times New Roman"/>
          <w:color w:val="000000"/>
          <w:sz w:val="19"/>
          <w:szCs w:val="19"/>
        </w:rPr>
        <w:t>), 4 - rama siewnika ze stojakiem, 5 - koło siewnika, 6 - przekładnia łańcuchowa, 7 - przekładnia pasowa napędu zespołu wysiewającego siewnika, 8 - zbiornik nasion, 9 - przewody nasienne, 10 - redlice, 11 - łącznik</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567045" cy="5516245"/>
            <wp:effectExtent l="19050" t="0" r="0" b="0"/>
            <wp:docPr id="10" name="Obraz 10" descr="Zestaw uprawowo - siew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estaw uprawowo - siewny"/>
                    <pic:cNvPicPr>
                      <a:picLocks noChangeAspect="1" noChangeArrowheads="1"/>
                    </pic:cNvPicPr>
                  </pic:nvPicPr>
                  <pic:blipFill>
                    <a:blip r:embed="rId13"/>
                    <a:srcRect/>
                    <a:stretch>
                      <a:fillRect/>
                    </a:stretch>
                  </pic:blipFill>
                  <pic:spPr bwMode="auto">
                    <a:xfrm>
                      <a:off x="0" y="0"/>
                      <a:ext cx="5567045" cy="551624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4.10. Zestaw uprawowo - siewny (</w:t>
      </w:r>
      <w:proofErr w:type="spellStart"/>
      <w:r w:rsidRPr="00A94298">
        <w:rPr>
          <w:rFonts w:ascii="Verdana" w:eastAsia="Times New Roman" w:hAnsi="Verdana" w:cs="Times New Roman"/>
          <w:b/>
          <w:bCs/>
          <w:color w:val="445522"/>
          <w:sz w:val="19"/>
          <w:szCs w:val="19"/>
        </w:rPr>
        <w:t>Bomford</w:t>
      </w:r>
      <w:proofErr w:type="spellEnd"/>
      <w:r w:rsidRPr="00A94298">
        <w:rPr>
          <w:rFonts w:ascii="Verdana" w:eastAsia="Times New Roman" w:hAnsi="Verdana" w:cs="Times New Roman"/>
          <w:b/>
          <w:bCs/>
          <w:color w:val="445522"/>
          <w:sz w:val="19"/>
          <w:szCs w:val="19"/>
        </w:rPr>
        <w:t>)</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składający się z glebogryzarki, wału strunowego i siewnika do nasion podczas pracy na polu zaoranym (a) oraz w położeniu transportowym (b)</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084060" cy="4069715"/>
            <wp:effectExtent l="19050" t="0" r="2540" b="0"/>
            <wp:docPr id="11" name="Obraz 11" descr="Zestaw upraw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estaw uprawowy"/>
                    <pic:cNvPicPr>
                      <a:picLocks noChangeAspect="1" noChangeArrowheads="1"/>
                    </pic:cNvPicPr>
                  </pic:nvPicPr>
                  <pic:blipFill>
                    <a:blip r:embed="rId14"/>
                    <a:srcRect/>
                    <a:stretch>
                      <a:fillRect/>
                    </a:stretch>
                  </pic:blipFill>
                  <pic:spPr bwMode="auto">
                    <a:xfrm>
                      <a:off x="0" y="0"/>
                      <a:ext cx="7084060" cy="4069715"/>
                    </a:xfrm>
                    <a:prstGeom prst="rect">
                      <a:avLst/>
                    </a:prstGeom>
                    <a:noFill/>
                    <a:ln w="9525">
                      <a:noFill/>
                      <a:miter lim="800000"/>
                      <a:headEnd/>
                      <a:tailEnd/>
                    </a:ln>
                  </pic:spPr>
                </pic:pic>
              </a:graphicData>
            </a:graphic>
          </wp:inline>
        </w:drawing>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4933950" cy="2682875"/>
            <wp:effectExtent l="19050" t="0" r="0" b="0"/>
            <wp:docPr id="12" name="Obraz 12" descr="Zestaw upraw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estaw uprawowy"/>
                    <pic:cNvPicPr>
                      <a:picLocks noChangeAspect="1" noChangeArrowheads="1"/>
                    </pic:cNvPicPr>
                  </pic:nvPicPr>
                  <pic:blipFill>
                    <a:blip r:embed="rId15"/>
                    <a:srcRect/>
                    <a:stretch>
                      <a:fillRect/>
                    </a:stretch>
                  </pic:blipFill>
                  <pic:spPr bwMode="auto">
                    <a:xfrm>
                      <a:off x="0" y="0"/>
                      <a:ext cx="4933950" cy="2682875"/>
                    </a:xfrm>
                    <a:prstGeom prst="rect">
                      <a:avLst/>
                    </a:prstGeom>
                    <a:noFill/>
                    <a:ln w="9525">
                      <a:noFill/>
                      <a:miter lim="800000"/>
                      <a:headEnd/>
                      <a:tailEnd/>
                    </a:ln>
                  </pic:spPr>
                </pic:pic>
              </a:graphicData>
            </a:graphic>
          </wp:inline>
        </w:drawing>
      </w:r>
      <w:r w:rsidRPr="00A94298">
        <w:rPr>
          <w:rFonts w:ascii="Verdana" w:eastAsia="Times New Roman" w:hAnsi="Verdana" w:cs="Times New Roman"/>
          <w:color w:val="000000"/>
          <w:sz w:val="19"/>
        </w:rPr>
        <w:t> </w:t>
      </w:r>
      <w:r>
        <w:rPr>
          <w:rFonts w:ascii="Verdana" w:eastAsia="Times New Roman" w:hAnsi="Verdana" w:cs="Times New Roman"/>
          <w:noProof/>
          <w:color w:val="000000"/>
          <w:sz w:val="19"/>
          <w:szCs w:val="19"/>
        </w:rPr>
        <w:drawing>
          <wp:inline distT="0" distB="0" distL="0" distR="0">
            <wp:extent cx="6772275" cy="3185160"/>
            <wp:effectExtent l="19050" t="0" r="9525" b="0"/>
            <wp:docPr id="13" name="Obraz 13" descr="Zestaw upraw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estaw uprawowy"/>
                    <pic:cNvPicPr>
                      <a:picLocks noChangeAspect="1" noChangeArrowheads="1"/>
                    </pic:cNvPicPr>
                  </pic:nvPicPr>
                  <pic:blipFill>
                    <a:blip r:embed="rId16"/>
                    <a:srcRect/>
                    <a:stretch>
                      <a:fillRect/>
                    </a:stretch>
                  </pic:blipFill>
                  <pic:spPr bwMode="auto">
                    <a:xfrm>
                      <a:off x="0" y="0"/>
                      <a:ext cx="6772275" cy="3185160"/>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4.11. Zestaw uprawowy (</w:t>
      </w:r>
      <w:proofErr w:type="spellStart"/>
      <w:r w:rsidRPr="00A94298">
        <w:rPr>
          <w:rFonts w:ascii="Verdana" w:eastAsia="Times New Roman" w:hAnsi="Verdana" w:cs="Times New Roman"/>
          <w:b/>
          <w:bCs/>
          <w:color w:val="445522"/>
          <w:sz w:val="19"/>
          <w:szCs w:val="19"/>
        </w:rPr>
        <w:t>Bomford</w:t>
      </w:r>
      <w:proofErr w:type="spellEnd"/>
      <w:r w:rsidRPr="00A94298">
        <w:rPr>
          <w:rFonts w:ascii="Verdana" w:eastAsia="Times New Roman" w:hAnsi="Verdana" w:cs="Times New Roman"/>
          <w:b/>
          <w:bCs/>
          <w:color w:val="445522"/>
          <w:sz w:val="19"/>
          <w:szCs w:val="19"/>
        </w:rPr>
        <w:t>)</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składający się z glebogryzarki i wału doprawiającego (a), schemat zasady działania zestawu uprawowo siewnego (b), schemat zasady działania zestawu uprawowego przedstawionego na ryc. a oraz przeniesienie napędu na wał doprawiający (c)</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8862695" cy="5567045"/>
            <wp:effectExtent l="19050" t="0" r="0" b="0"/>
            <wp:docPr id="14" name="Obraz 14" descr="Schemat zestawu uprawowo-sie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hemat zestawu uprawowo-siewnego"/>
                    <pic:cNvPicPr>
                      <a:picLocks noChangeAspect="1" noChangeArrowheads="1"/>
                    </pic:cNvPicPr>
                  </pic:nvPicPr>
                  <pic:blipFill>
                    <a:blip r:embed="rId17"/>
                    <a:srcRect/>
                    <a:stretch>
                      <a:fillRect/>
                    </a:stretch>
                  </pic:blipFill>
                  <pic:spPr bwMode="auto">
                    <a:xfrm>
                      <a:off x="0" y="0"/>
                      <a:ext cx="8862695" cy="556704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4.12. Schemat zestawu uprawowo-siewnego:</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1 - brona wahadłowa, 2 - siewnik zawieszany do nasion</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129655" cy="4159885"/>
            <wp:effectExtent l="19050" t="0" r="4445" b="0"/>
            <wp:docPr id="15" name="Obraz 15" descr="Zestaw upraw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estaw uprawowy"/>
                    <pic:cNvPicPr>
                      <a:picLocks noChangeAspect="1" noChangeArrowheads="1"/>
                    </pic:cNvPicPr>
                  </pic:nvPicPr>
                  <pic:blipFill>
                    <a:blip r:embed="rId18"/>
                    <a:srcRect/>
                    <a:stretch>
                      <a:fillRect/>
                    </a:stretch>
                  </pic:blipFill>
                  <pic:spPr bwMode="auto">
                    <a:xfrm>
                      <a:off x="0" y="0"/>
                      <a:ext cx="6129655" cy="415988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4.13. Zestaw uprawowy (</w:t>
      </w:r>
      <w:proofErr w:type="spellStart"/>
      <w:r w:rsidRPr="00A94298">
        <w:rPr>
          <w:rFonts w:ascii="Verdana" w:eastAsia="Times New Roman" w:hAnsi="Verdana" w:cs="Times New Roman"/>
          <w:b/>
          <w:bCs/>
          <w:color w:val="445522"/>
          <w:sz w:val="19"/>
          <w:szCs w:val="19"/>
        </w:rPr>
        <w:t>Amazone</w:t>
      </w:r>
      <w:proofErr w:type="spellEnd"/>
      <w:r w:rsidRPr="00A94298">
        <w:rPr>
          <w:rFonts w:ascii="Verdana" w:eastAsia="Times New Roman" w:hAnsi="Verdana" w:cs="Times New Roman"/>
          <w:b/>
          <w:bCs/>
          <w:color w:val="445522"/>
          <w:sz w:val="19"/>
          <w:szCs w:val="19"/>
        </w:rPr>
        <w:t>)</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składający się z brony wahadłowej, wału doprawiającego, siewnika do nasion i brony zgrzebła w położeniu roboczym</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10148570" cy="4079875"/>
            <wp:effectExtent l="19050" t="0" r="5080" b="0"/>
            <wp:docPr id="16" name="Obraz 16" descr="Półzawieszany zestaw uprawowy przeznaczony do pracy na glebach cięż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ółzawieszany zestaw uprawowy przeznaczony do pracy na glebach ciężkich"/>
                    <pic:cNvPicPr>
                      <a:picLocks noChangeAspect="1" noChangeArrowheads="1"/>
                    </pic:cNvPicPr>
                  </pic:nvPicPr>
                  <pic:blipFill>
                    <a:blip r:embed="rId19"/>
                    <a:srcRect/>
                    <a:stretch>
                      <a:fillRect/>
                    </a:stretch>
                  </pic:blipFill>
                  <pic:spPr bwMode="auto">
                    <a:xfrm>
                      <a:off x="0" y="0"/>
                      <a:ext cx="10148570" cy="4079875"/>
                    </a:xfrm>
                    <a:prstGeom prst="rect">
                      <a:avLst/>
                    </a:prstGeom>
                    <a:noFill/>
                    <a:ln w="9525">
                      <a:noFill/>
                      <a:miter lim="800000"/>
                      <a:headEnd/>
                      <a:tailEnd/>
                    </a:ln>
                  </pic:spPr>
                </pic:pic>
              </a:graphicData>
            </a:graphic>
          </wp:inline>
        </w:drawing>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10279380" cy="1155700"/>
            <wp:effectExtent l="19050" t="0" r="7620" b="0"/>
            <wp:docPr id="17" name="Obraz 17" descr="Półzawieszany zestaw upraw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ółzawieszany zestaw uprawowy"/>
                    <pic:cNvPicPr>
                      <a:picLocks noChangeAspect="1" noChangeArrowheads="1"/>
                    </pic:cNvPicPr>
                  </pic:nvPicPr>
                  <pic:blipFill>
                    <a:blip r:embed="rId20"/>
                    <a:srcRect/>
                    <a:stretch>
                      <a:fillRect/>
                    </a:stretch>
                  </pic:blipFill>
                  <pic:spPr bwMode="auto">
                    <a:xfrm>
                      <a:off x="0" y="0"/>
                      <a:ext cx="10279380" cy="1155700"/>
                    </a:xfrm>
                    <a:prstGeom prst="rect">
                      <a:avLst/>
                    </a:prstGeom>
                    <a:noFill/>
                    <a:ln w="9525">
                      <a:noFill/>
                      <a:miter lim="800000"/>
                      <a:headEnd/>
                      <a:tailEnd/>
                    </a:ln>
                  </pic:spPr>
                </pic:pic>
              </a:graphicData>
            </a:graphic>
          </wp:inline>
        </w:drawing>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6430645" cy="1266190"/>
            <wp:effectExtent l="19050" t="0" r="8255" b="0"/>
            <wp:docPr id="18" name="Obraz 18" descr="Półzawieszany zestaw uprawowy przeznaczony do pracy na glebach cięż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ółzawieszany zestaw uprawowy przeznaczony do pracy na glebach ciężkich"/>
                    <pic:cNvPicPr>
                      <a:picLocks noChangeAspect="1" noChangeArrowheads="1"/>
                    </pic:cNvPicPr>
                  </pic:nvPicPr>
                  <pic:blipFill>
                    <a:blip r:embed="rId21"/>
                    <a:srcRect/>
                    <a:stretch>
                      <a:fillRect/>
                    </a:stretch>
                  </pic:blipFill>
                  <pic:spPr bwMode="auto">
                    <a:xfrm>
                      <a:off x="0" y="0"/>
                      <a:ext cx="6430645" cy="1266190"/>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 xml:space="preserve">Ryc. 4.14. </w:t>
      </w:r>
      <w:proofErr w:type="spellStart"/>
      <w:r w:rsidRPr="00A94298">
        <w:rPr>
          <w:rFonts w:ascii="Verdana" w:eastAsia="Times New Roman" w:hAnsi="Verdana" w:cs="Times New Roman"/>
          <w:b/>
          <w:bCs/>
          <w:color w:val="445522"/>
          <w:sz w:val="19"/>
          <w:szCs w:val="19"/>
        </w:rPr>
        <w:t>Półzawieszany</w:t>
      </w:r>
      <w:proofErr w:type="spellEnd"/>
      <w:r w:rsidRPr="00A94298">
        <w:rPr>
          <w:rFonts w:ascii="Verdana" w:eastAsia="Times New Roman" w:hAnsi="Verdana" w:cs="Times New Roman"/>
          <w:b/>
          <w:bCs/>
          <w:color w:val="445522"/>
          <w:sz w:val="19"/>
          <w:szCs w:val="19"/>
        </w:rPr>
        <w:t xml:space="preserve"> zestaw uprawowy przeznaczony do pracy na glebach ciężkich (</w:t>
      </w:r>
      <w:proofErr w:type="spellStart"/>
      <w:r w:rsidRPr="00A94298">
        <w:rPr>
          <w:rFonts w:ascii="Verdana" w:eastAsia="Times New Roman" w:hAnsi="Verdana" w:cs="Times New Roman"/>
          <w:b/>
          <w:bCs/>
          <w:color w:val="445522"/>
          <w:sz w:val="19"/>
          <w:szCs w:val="19"/>
        </w:rPr>
        <w:t>Rau</w:t>
      </w:r>
      <w:proofErr w:type="spellEnd"/>
      <w:r w:rsidRPr="00A94298">
        <w:rPr>
          <w:rFonts w:ascii="Verdana" w:eastAsia="Times New Roman" w:hAnsi="Verdana" w:cs="Times New Roman"/>
          <w:b/>
          <w:bCs/>
          <w:color w:val="445522"/>
          <w:sz w:val="19"/>
          <w:szCs w:val="19"/>
        </w:rPr>
        <w:t>),</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składający się z brony talerzowej i kultywatora (a), efekt pracy jego poszczególnych zespołów (b) oraz schemat rozmieszczenia narzędzi w zestawie (c)</w:t>
      </w:r>
    </w:p>
    <w:p w:rsidR="00A94298" w:rsidRPr="00A94298" w:rsidRDefault="00A94298" w:rsidP="00A94298">
      <w:pPr>
        <w:spacing w:before="100" w:beforeAutospacing="1" w:after="100" w:afterAutospacing="1" w:line="240" w:lineRule="auto"/>
        <w:ind w:firstLine="475"/>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 xml:space="preserve">Kombajny uprawowo siewne są to maszyny wieloczynnościowe, których zespoły robocze są trwale połączone na jednej wspólnej ramie. Kombajny muszą być wyposażone w zespoły zdolne wykonać uprawę na pełną głębokość zgodnie z wymaganiami agrotechniki. Do podstawowej uprawy stosuje się tu tylko czynne lub kombinowane zespoły, którymi mogą być glebogryzarki do uprawy płytkiej (do 15 cm) i głębokiej (do 25 cm) lub kombinowane z </w:t>
      </w:r>
      <w:proofErr w:type="spellStart"/>
      <w:r w:rsidRPr="00A94298">
        <w:rPr>
          <w:rFonts w:ascii="Verdana" w:eastAsia="Times New Roman" w:hAnsi="Verdana" w:cs="Times New Roman"/>
          <w:color w:val="000000"/>
          <w:sz w:val="19"/>
          <w:szCs w:val="19"/>
        </w:rPr>
        <w:t>gęsiostopkami</w:t>
      </w:r>
      <w:proofErr w:type="spellEnd"/>
      <w:r w:rsidRPr="00A94298">
        <w:rPr>
          <w:rFonts w:ascii="Verdana" w:eastAsia="Times New Roman" w:hAnsi="Verdana" w:cs="Times New Roman"/>
          <w:color w:val="000000"/>
          <w:sz w:val="19"/>
          <w:szCs w:val="19"/>
        </w:rPr>
        <w:t xml:space="preserve"> do uprawy głębokiej. Przykładem kombajnu uprawowo siewnego może być kombajn </w:t>
      </w:r>
      <w:proofErr w:type="spellStart"/>
      <w:r w:rsidRPr="00A94298">
        <w:rPr>
          <w:rFonts w:ascii="Verdana" w:eastAsia="Times New Roman" w:hAnsi="Verdana" w:cs="Times New Roman"/>
          <w:color w:val="000000"/>
          <w:sz w:val="19"/>
          <w:szCs w:val="19"/>
        </w:rPr>
        <w:t>Cantone</w:t>
      </w:r>
      <w:proofErr w:type="spellEnd"/>
      <w:r w:rsidRPr="00A94298">
        <w:rPr>
          <w:rFonts w:ascii="Verdana" w:eastAsia="Times New Roman" w:hAnsi="Verdana" w:cs="Times New Roman"/>
          <w:color w:val="000000"/>
          <w:sz w:val="19"/>
          <w:szCs w:val="19"/>
        </w:rPr>
        <w:t>. Wyposażony jest w duże zbiorniki na nawozy (1,4 m</w:t>
      </w:r>
      <w:r w:rsidRPr="00A94298">
        <w:rPr>
          <w:rFonts w:ascii="Verdana" w:eastAsia="Times New Roman" w:hAnsi="Verdana" w:cs="Times New Roman"/>
          <w:color w:val="000000"/>
          <w:sz w:val="19"/>
          <w:szCs w:val="19"/>
          <w:vertAlign w:val="superscript"/>
        </w:rPr>
        <w:t>3</w:t>
      </w:r>
      <w:r w:rsidRPr="00A94298">
        <w:rPr>
          <w:rFonts w:ascii="Verdana" w:eastAsia="Times New Roman" w:hAnsi="Verdana" w:cs="Times New Roman"/>
          <w:color w:val="000000"/>
          <w:sz w:val="19"/>
          <w:szCs w:val="19"/>
        </w:rPr>
        <w:t>), nasiona (0,5 m</w:t>
      </w:r>
      <w:r w:rsidRPr="00A94298">
        <w:rPr>
          <w:rFonts w:ascii="Verdana" w:eastAsia="Times New Roman" w:hAnsi="Verdana" w:cs="Times New Roman"/>
          <w:color w:val="000000"/>
          <w:sz w:val="19"/>
          <w:szCs w:val="19"/>
          <w:vertAlign w:val="superscript"/>
        </w:rPr>
        <w:t>3</w:t>
      </w:r>
      <w:r w:rsidRPr="00A94298">
        <w:rPr>
          <w:rFonts w:ascii="Verdana" w:eastAsia="Times New Roman" w:hAnsi="Verdana" w:cs="Times New Roman"/>
          <w:color w:val="000000"/>
          <w:sz w:val="19"/>
          <w:szCs w:val="19"/>
        </w:rPr>
        <w:t>), pestycydy (1,4 m</w:t>
      </w:r>
      <w:r w:rsidRPr="00A94298">
        <w:rPr>
          <w:rFonts w:ascii="Verdana" w:eastAsia="Times New Roman" w:hAnsi="Verdana" w:cs="Times New Roman"/>
          <w:color w:val="000000"/>
          <w:sz w:val="19"/>
          <w:szCs w:val="19"/>
          <w:vertAlign w:val="superscript"/>
        </w:rPr>
        <w:t>3</w:t>
      </w:r>
      <w:r w:rsidRPr="00A94298">
        <w:rPr>
          <w:rFonts w:ascii="Verdana" w:eastAsia="Times New Roman" w:hAnsi="Verdana" w:cs="Times New Roman"/>
          <w:color w:val="000000"/>
          <w:sz w:val="19"/>
          <w:szCs w:val="19"/>
        </w:rPr>
        <w:t xml:space="preserve">). Nawóz wysiewany jest przed glebogryzarką, która miesza go z glebą. Za </w:t>
      </w:r>
      <w:r w:rsidRPr="00A94298">
        <w:rPr>
          <w:rFonts w:ascii="Verdana" w:eastAsia="Times New Roman" w:hAnsi="Verdana" w:cs="Times New Roman"/>
          <w:color w:val="000000"/>
          <w:sz w:val="19"/>
          <w:szCs w:val="19"/>
        </w:rPr>
        <w:lastRenderedPageBreak/>
        <w:t>glebogryzarką umiejscowiony jest wał. Może nim być wał strunowy lub inny z grupy ugniatająco-kruszących, którego zadaniem jest ugniecenie zbyt spulchnionej przez glebogryzarkę gleby. Za wałem zamocowane są redlice siewnika do nasion, ewentualnie do granulowanych lub sypkich środków ochrony roślin, a za redlicami dysze opryskiwacza do płynnych herbicydów. Kombajny mogą być przyczepiane (zespoły robocze są wówczas napędzane przez WOM ciągnika lub mają własny silnik spalinowy) oraz samobieżne. Maszyny wieloczynnościowe są efektem zmian w dotychczasowej technologii uprawy gleby, siewu i pielęgnacji roślin, zmierzającej do ich uproszczenia, co powoduje, że stosowane dotychczas pojedyncze narzędzia i maszyny uprawowe tracą znaczenie. Przykład kombajnów uprawowo siewnych przedstawiają ryciny 4.15 i 4.16.</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4933950" cy="2903855"/>
            <wp:effectExtent l="19050" t="0" r="0" b="0"/>
            <wp:docPr id="19" name="Obraz 19" descr="Schemat kombajnu uprawowo sie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chemat kombajnu uprawowo siewnego"/>
                    <pic:cNvPicPr>
                      <a:picLocks noChangeAspect="1" noChangeArrowheads="1"/>
                    </pic:cNvPicPr>
                  </pic:nvPicPr>
                  <pic:blipFill>
                    <a:blip r:embed="rId22"/>
                    <a:srcRect/>
                    <a:stretch>
                      <a:fillRect/>
                    </a:stretch>
                  </pic:blipFill>
                  <pic:spPr bwMode="auto">
                    <a:xfrm>
                      <a:off x="0" y="0"/>
                      <a:ext cx="4933950" cy="290385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4.15. Schemat kombajnu uprawowo siewnego,</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t>przyczepianego, napędzanego przez WOM ciągnika: 1 - rama, 2 - koła jezdne, 3 - zbiornik na nawozy mineralne, 4 - zbiornik na pestycydy, 5 - zbiornik na ziarno, 6 - rozsiewacz nawozu, 7 - glebogryzarka, 8 - osłona glebogryzarki, 9 - przekładnia łańcuchowa, 10 - wałek napędowy, 11 - skrzynka przekładniowa napędu glebogryzarki i pompy opryskiwacza, 12 - napęd zespołu wysiewającego siewnika do nasion, 13 - przewody cieczy, 14 - belka robocza opryskiwacza, 15 - dysze opryskiwacza, 16 - wał krusząco ugniatający</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4069715" cy="2009775"/>
            <wp:effectExtent l="19050" t="0" r="6985" b="0"/>
            <wp:docPr id="20" name="Obraz 20" descr="Schemat samobieżnego kombajnu uprawowo sie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hemat samobieżnego kombajnu uprawowo siewnego"/>
                    <pic:cNvPicPr>
                      <a:picLocks noChangeAspect="1" noChangeArrowheads="1"/>
                    </pic:cNvPicPr>
                  </pic:nvPicPr>
                  <pic:blipFill>
                    <a:blip r:embed="rId23"/>
                    <a:srcRect/>
                    <a:stretch>
                      <a:fillRect/>
                    </a:stretch>
                  </pic:blipFill>
                  <pic:spPr bwMode="auto">
                    <a:xfrm>
                      <a:off x="0" y="0"/>
                      <a:ext cx="4069715" cy="2009775"/>
                    </a:xfrm>
                    <a:prstGeom prst="rect">
                      <a:avLst/>
                    </a:prstGeom>
                    <a:noFill/>
                    <a:ln w="9525">
                      <a:noFill/>
                      <a:miter lim="800000"/>
                      <a:headEnd/>
                      <a:tailEnd/>
                    </a:ln>
                  </pic:spPr>
                </pic:pic>
              </a:graphicData>
            </a:graphic>
          </wp:inline>
        </w:drawing>
      </w:r>
    </w:p>
    <w:p w:rsidR="00A94298" w:rsidRPr="00A94298" w:rsidRDefault="00A94298" w:rsidP="00A94298">
      <w:pPr>
        <w:spacing w:before="100" w:beforeAutospacing="1" w:after="100" w:afterAutospacing="1" w:line="240" w:lineRule="auto"/>
        <w:outlineLvl w:val="3"/>
        <w:rPr>
          <w:rFonts w:ascii="Verdana" w:eastAsia="Times New Roman" w:hAnsi="Verdana" w:cs="Times New Roman"/>
          <w:b/>
          <w:bCs/>
          <w:color w:val="445522"/>
          <w:sz w:val="19"/>
          <w:szCs w:val="19"/>
        </w:rPr>
      </w:pPr>
      <w:r w:rsidRPr="00A94298">
        <w:rPr>
          <w:rFonts w:ascii="Verdana" w:eastAsia="Times New Roman" w:hAnsi="Verdana" w:cs="Times New Roman"/>
          <w:b/>
          <w:bCs/>
          <w:color w:val="445522"/>
          <w:sz w:val="19"/>
          <w:szCs w:val="19"/>
        </w:rPr>
        <w:t>Ryc. 4.16. Schemat samobieżnego kombajnu uprawowo siewnego:</w:t>
      </w:r>
    </w:p>
    <w:p w:rsidR="00A94298" w:rsidRPr="00A94298" w:rsidRDefault="00A94298" w:rsidP="00A94298">
      <w:pPr>
        <w:spacing w:after="0" w:line="240" w:lineRule="auto"/>
        <w:rPr>
          <w:rFonts w:ascii="Verdana" w:eastAsia="Times New Roman" w:hAnsi="Verdana" w:cs="Times New Roman"/>
          <w:color w:val="000000"/>
          <w:sz w:val="19"/>
          <w:szCs w:val="19"/>
        </w:rPr>
      </w:pPr>
      <w:r w:rsidRPr="00A94298">
        <w:rPr>
          <w:rFonts w:ascii="Verdana" w:eastAsia="Times New Roman" w:hAnsi="Verdana" w:cs="Times New Roman"/>
          <w:color w:val="000000"/>
          <w:sz w:val="19"/>
          <w:szCs w:val="19"/>
        </w:rPr>
        <w:lastRenderedPageBreak/>
        <w:t>1 - rama, 2 - kabina kierowcy, 3 - silnik, 4 - zbiornik na nawozy mineralne, 5 - zbiornik na płynne pestycydy, 6 - zbiornik na ziarno, 7 - koła przednie, 8 - koła napędzane, 9 - glebogryzarka, 10 - wał krusząco ugniatający, 11 - zespół wysiewający nawozy, 12 - zespoły wysiewające ziarno, 13 - belka polowa opryskiwacza</w:t>
      </w:r>
    </w:p>
    <w:p w:rsidR="00A94298" w:rsidRPr="00A94298" w:rsidRDefault="00A94298" w:rsidP="00A94298">
      <w:pPr>
        <w:spacing w:before="100" w:beforeAutospacing="1" w:after="100" w:afterAutospacing="1" w:line="240" w:lineRule="auto"/>
        <w:outlineLvl w:val="5"/>
        <w:rPr>
          <w:rFonts w:ascii="Verdana" w:eastAsia="Times New Roman" w:hAnsi="Verdana" w:cs="Times New Roman"/>
          <w:color w:val="000000"/>
          <w:sz w:val="19"/>
          <w:szCs w:val="19"/>
        </w:rPr>
      </w:pPr>
      <w:r w:rsidRPr="00A94298">
        <w:rPr>
          <w:rFonts w:ascii="Verdana" w:eastAsia="Times New Roman" w:hAnsi="Verdana" w:cs="Times New Roman"/>
          <w:i/>
          <w:iCs/>
          <w:color w:val="000000"/>
          <w:sz w:val="19"/>
          <w:szCs w:val="19"/>
        </w:rPr>
        <w:t>Źródło: Bernacki 1981</w:t>
      </w:r>
    </w:p>
    <w:p w:rsidR="00A94298" w:rsidRPr="00A94298" w:rsidRDefault="00A94298" w:rsidP="00A94298">
      <w:pPr>
        <w:spacing w:after="0" w:line="240" w:lineRule="auto"/>
        <w:rPr>
          <w:rFonts w:ascii="Times New Roman" w:eastAsia="Times New Roman" w:hAnsi="Times New Roman" w:cs="Times New Roman"/>
          <w:sz w:val="24"/>
          <w:szCs w:val="24"/>
        </w:rPr>
      </w:pPr>
      <w:r w:rsidRPr="00A94298">
        <w:rPr>
          <w:rFonts w:ascii="Times New Roman" w:eastAsia="Times New Roman" w:hAnsi="Times New Roman" w:cs="Times New Roman"/>
          <w:color w:val="000000"/>
          <w:sz w:val="27"/>
          <w:szCs w:val="27"/>
        </w:rPr>
        <w:br/>
      </w:r>
      <w:r w:rsidRPr="00A94298">
        <w:rPr>
          <w:rFonts w:ascii="Times New Roman" w:eastAsia="Times New Roman" w:hAnsi="Times New Roman" w:cs="Times New Roman"/>
          <w:color w:val="000000"/>
          <w:sz w:val="27"/>
          <w:szCs w:val="27"/>
        </w:rPr>
        <w:br/>
      </w:r>
    </w:p>
    <w:p w:rsidR="00A069A8" w:rsidRDefault="00A069A8"/>
    <w:sectPr w:rsidR="00A069A8">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A00002EF" w:usb1="4000207B" w:usb2="00000000" w:usb3="00000000" w:csb0="0000009F" w:csb1="00000000"/>
  </w:font>
  <w:font w:name="Times New Roman">
    <w:panose1 w:val="02020603050405020304"/>
    <w:charset w:val="EE"/>
    <w:family w:val="roman"/>
    <w:pitch w:val="variable"/>
    <w:sig w:usb0="20002A87" w:usb1="80000000" w:usb2="00000008" w:usb3="00000000" w:csb0="000001FF" w:csb1="00000000"/>
  </w:font>
  <w:font w:name="Tahoma">
    <w:panose1 w:val="020B0604030504040204"/>
    <w:charset w:val="EE"/>
    <w:family w:val="swiss"/>
    <w:pitch w:val="variable"/>
    <w:sig w:usb0="61002A87" w:usb1="80000000" w:usb2="00000008" w:usb3="00000000" w:csb0="000101FF" w:csb1="00000000"/>
  </w:font>
  <w:font w:name="Verdana">
    <w:panose1 w:val="020B0604030504040204"/>
    <w:charset w:val="EE"/>
    <w:family w:val="swiss"/>
    <w:pitch w:val="variable"/>
    <w:sig w:usb0="20000287" w:usb1="00000000" w:usb2="00000000" w:usb3="00000000" w:csb0="0000019F" w:csb1="00000000"/>
  </w:font>
  <w:font w:name="Cambria">
    <w:panose1 w:val="02040503050406030204"/>
    <w:charset w:val="EE"/>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defaultTabStop w:val="708"/>
  <w:hyphenationZone w:val="425"/>
  <w:characterSpacingControl w:val="doNotCompress"/>
  <w:compat>
    <w:useFELayout/>
  </w:compat>
  <w:rsids>
    <w:rsidRoot w:val="00A94298"/>
    <w:rsid w:val="00A069A8"/>
    <w:rsid w:val="00A94298"/>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link w:val="Nagwek1Znak"/>
    <w:uiPriority w:val="9"/>
    <w:qFormat/>
    <w:rsid w:val="00A9429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Nagwek2">
    <w:name w:val="heading 2"/>
    <w:basedOn w:val="Normalny"/>
    <w:link w:val="Nagwek2Znak"/>
    <w:uiPriority w:val="9"/>
    <w:qFormat/>
    <w:rsid w:val="00A9429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Nagwek4">
    <w:name w:val="heading 4"/>
    <w:basedOn w:val="Normalny"/>
    <w:link w:val="Nagwek4Znak"/>
    <w:uiPriority w:val="9"/>
    <w:qFormat/>
    <w:rsid w:val="00A94298"/>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Nagwek6">
    <w:name w:val="heading 6"/>
    <w:basedOn w:val="Normalny"/>
    <w:link w:val="Nagwek6Znak"/>
    <w:uiPriority w:val="9"/>
    <w:qFormat/>
    <w:rsid w:val="00A94298"/>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94298"/>
    <w:rPr>
      <w:rFonts w:ascii="Times New Roman" w:eastAsia="Times New Roman" w:hAnsi="Times New Roman" w:cs="Times New Roman"/>
      <w:b/>
      <w:bCs/>
      <w:kern w:val="36"/>
      <w:sz w:val="48"/>
      <w:szCs w:val="48"/>
    </w:rPr>
  </w:style>
  <w:style w:type="character" w:customStyle="1" w:styleId="Nagwek2Znak">
    <w:name w:val="Nagłówek 2 Znak"/>
    <w:basedOn w:val="Domylnaczcionkaakapitu"/>
    <w:link w:val="Nagwek2"/>
    <w:uiPriority w:val="9"/>
    <w:rsid w:val="00A94298"/>
    <w:rPr>
      <w:rFonts w:ascii="Times New Roman" w:eastAsia="Times New Roman" w:hAnsi="Times New Roman" w:cs="Times New Roman"/>
      <w:b/>
      <w:bCs/>
      <w:sz w:val="36"/>
      <w:szCs w:val="36"/>
    </w:rPr>
  </w:style>
  <w:style w:type="character" w:customStyle="1" w:styleId="Nagwek4Znak">
    <w:name w:val="Nagłówek 4 Znak"/>
    <w:basedOn w:val="Domylnaczcionkaakapitu"/>
    <w:link w:val="Nagwek4"/>
    <w:uiPriority w:val="9"/>
    <w:rsid w:val="00A94298"/>
    <w:rPr>
      <w:rFonts w:ascii="Times New Roman" w:eastAsia="Times New Roman" w:hAnsi="Times New Roman" w:cs="Times New Roman"/>
      <w:b/>
      <w:bCs/>
      <w:sz w:val="24"/>
      <w:szCs w:val="24"/>
    </w:rPr>
  </w:style>
  <w:style w:type="character" w:customStyle="1" w:styleId="Nagwek6Znak">
    <w:name w:val="Nagłówek 6 Znak"/>
    <w:basedOn w:val="Domylnaczcionkaakapitu"/>
    <w:link w:val="Nagwek6"/>
    <w:uiPriority w:val="9"/>
    <w:rsid w:val="00A94298"/>
    <w:rPr>
      <w:rFonts w:ascii="Times New Roman" w:eastAsia="Times New Roman" w:hAnsi="Times New Roman" w:cs="Times New Roman"/>
      <w:b/>
      <w:bCs/>
      <w:sz w:val="15"/>
      <w:szCs w:val="15"/>
    </w:rPr>
  </w:style>
  <w:style w:type="character" w:styleId="Hipercze">
    <w:name w:val="Hyperlink"/>
    <w:basedOn w:val="Domylnaczcionkaakapitu"/>
    <w:uiPriority w:val="99"/>
    <w:semiHidden/>
    <w:unhideWhenUsed/>
    <w:rsid w:val="00A94298"/>
    <w:rPr>
      <w:color w:val="0000FF"/>
      <w:u w:val="single"/>
    </w:rPr>
  </w:style>
  <w:style w:type="paragraph" w:styleId="NormalnyWeb">
    <w:name w:val="Normal (Web)"/>
    <w:basedOn w:val="Normalny"/>
    <w:uiPriority w:val="99"/>
    <w:semiHidden/>
    <w:unhideWhenUsed/>
    <w:rsid w:val="00A942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omylnaczcionkaakapitu"/>
    <w:rsid w:val="00A94298"/>
  </w:style>
  <w:style w:type="paragraph" w:styleId="Tekstdymka">
    <w:name w:val="Balloon Text"/>
    <w:basedOn w:val="Normalny"/>
    <w:link w:val="TekstdymkaZnak"/>
    <w:uiPriority w:val="99"/>
    <w:semiHidden/>
    <w:unhideWhenUsed/>
    <w:rsid w:val="00A9429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9429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30679813">
      <w:bodyDiv w:val="1"/>
      <w:marLeft w:val="0"/>
      <w:marRight w:val="0"/>
      <w:marTop w:val="0"/>
      <w:marBottom w:val="0"/>
      <w:divBdr>
        <w:top w:val="none" w:sz="0" w:space="0" w:color="auto"/>
        <w:left w:val="none" w:sz="0" w:space="0" w:color="auto"/>
        <w:bottom w:val="none" w:sz="0" w:space="0" w:color="auto"/>
        <w:right w:val="none" w:sz="0" w:space="0" w:color="auto"/>
      </w:divBdr>
      <w:divsChild>
        <w:div w:id="12328114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1891</Words>
  <Characters>11346</Characters>
  <Application>Microsoft Office Word</Application>
  <DocSecurity>0</DocSecurity>
  <Lines>94</Lines>
  <Paragraphs>26</Paragraphs>
  <ScaleCrop>false</ScaleCrop>
  <Company/>
  <LinksUpToDate>false</LinksUpToDate>
  <CharactersWithSpaces>13211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Bogdan123456</dc:creator>
  <cp:keywords/>
  <dc:description/>
  <cp:lastModifiedBy>Bogdan123456</cp:lastModifiedBy>
  <cp:revision>3</cp:revision>
  <dcterms:created xsi:type="dcterms:W3CDTF">2018-04-01T18:59:00Z</dcterms:created>
  <dcterms:modified xsi:type="dcterms:W3CDTF">2018-04-01T18:59:00Z</dcterms:modified>
</cp:coreProperties>
</file>